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D24" w:rsidRDefault="00E13FB1">
      <w:pPr>
        <w:spacing w:before="200" w:after="1000" w:line="560" w:lineRule="exact"/>
        <w:jc w:val="center"/>
        <w:rPr>
          <w:rFonts w:ascii="宋体" w:eastAsia="宋体" w:hAnsi="宋体" w:cs="宋体"/>
          <w:sz w:val="18"/>
          <w:szCs w:val="18"/>
        </w:rPr>
      </w:pPr>
      <w:r>
        <w:rPr>
          <w:rFonts w:ascii="宋体" w:eastAsia="宋体" w:hAnsi="宋体" w:cs="宋体"/>
          <w:sz w:val="18"/>
          <w:szCs w:val="18"/>
        </w:rPr>
        <w:t>证券代码：000605                证券简称：渤海股份                公告编号：</w:t>
      </w:r>
      <w:r w:rsidR="0079181A">
        <w:rPr>
          <w:rFonts w:ascii="宋体" w:eastAsia="宋体" w:hAnsi="宋体" w:cs="宋体" w:hint="eastAsia"/>
          <w:sz w:val="18"/>
          <w:szCs w:val="18"/>
        </w:rPr>
        <w:t>2</w:t>
      </w:r>
      <w:r w:rsidR="0047270E">
        <w:rPr>
          <w:rFonts w:ascii="宋体" w:eastAsia="宋体" w:hAnsi="宋体" w:cs="宋体"/>
          <w:sz w:val="18"/>
          <w:szCs w:val="18"/>
        </w:rPr>
        <w:t>023-042</w:t>
      </w:r>
    </w:p>
    <w:p w:rsidR="00C50D24" w:rsidRPr="0079181A" w:rsidRDefault="00E13FB1" w:rsidP="0079181A">
      <w:pPr>
        <w:spacing w:after="1000" w:line="400" w:lineRule="exact"/>
        <w:jc w:val="center"/>
        <w:rPr>
          <w:rFonts w:ascii="宋体" w:eastAsia="宋体" w:hAnsi="宋体" w:cs="宋体"/>
          <w:b/>
          <w:bCs/>
          <w:sz w:val="36"/>
          <w:szCs w:val="36"/>
        </w:rPr>
      </w:pPr>
      <w:r>
        <w:rPr>
          <w:rFonts w:ascii="宋体" w:eastAsia="宋体" w:hAnsi="宋体" w:cs="宋体"/>
          <w:b/>
          <w:bCs/>
          <w:sz w:val="36"/>
          <w:szCs w:val="36"/>
        </w:rPr>
        <w:t>渤海水业股份有限公司2023年半年度报告摘要</w:t>
      </w:r>
    </w:p>
    <w:p w:rsidR="00C50D24" w:rsidRDefault="00E13FB1">
      <w:pPr>
        <w:pStyle w:val="2"/>
        <w:spacing w:before="300" w:after="300" w:line="320" w:lineRule="exact"/>
        <w:rPr>
          <w:rFonts w:ascii="宋体" w:eastAsia="宋体" w:hAnsi="宋体" w:cs="宋体"/>
          <w:b/>
          <w:bCs/>
          <w:sz w:val="24"/>
          <w:szCs w:val="24"/>
        </w:rPr>
      </w:pPr>
      <w:bookmarkStart w:id="0" w:name="_Toc988889"/>
      <w:r>
        <w:rPr>
          <w:rFonts w:ascii="宋体" w:eastAsia="宋体" w:hAnsi="宋体" w:cs="宋体"/>
          <w:b/>
          <w:bCs/>
          <w:sz w:val="24"/>
          <w:szCs w:val="24"/>
        </w:rPr>
        <w:t>一、重要提示</w:t>
      </w:r>
      <w:bookmarkEnd w:id="0"/>
    </w:p>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本半年度报告摘要来自半年度报告全文，为全面了解本公司的经营成果、财务状况及未来发展规划，投资者应当到证监会指定媒体仔细阅读半年度报告全文。</w:t>
      </w:r>
    </w:p>
    <w:p w:rsidR="00C50D24" w:rsidRDefault="00E13FB1">
      <w:pPr>
        <w:spacing w:line="240" w:lineRule="exact"/>
        <w:rPr>
          <w:rFonts w:ascii="宋体" w:eastAsia="宋体" w:hAnsi="宋体" w:cs="宋体"/>
          <w:sz w:val="18"/>
          <w:szCs w:val="18"/>
        </w:rPr>
      </w:pPr>
      <w:r>
        <w:rPr>
          <w:rFonts w:ascii="宋体" w:eastAsia="宋体" w:hAnsi="宋体" w:cs="宋体"/>
          <w:sz w:val="18"/>
          <w:szCs w:val="18"/>
        </w:rPr>
        <w:t>所有董事均已出席了审议本报告的董事会会议。</w:t>
      </w:r>
    </w:p>
    <w:p w:rsidR="00C50D24" w:rsidRDefault="00E13FB1">
      <w:pPr>
        <w:spacing w:before="100" w:after="100" w:line="240" w:lineRule="exact"/>
        <w:rPr>
          <w:rFonts w:ascii="宋体" w:eastAsia="宋体" w:hAnsi="宋体" w:cs="宋体"/>
          <w:sz w:val="18"/>
          <w:szCs w:val="18"/>
        </w:rPr>
      </w:pPr>
      <w:r>
        <w:rPr>
          <w:rFonts w:ascii="宋体" w:eastAsia="宋体" w:hAnsi="宋体" w:cs="宋体"/>
          <w:sz w:val="18"/>
          <w:szCs w:val="18"/>
        </w:rPr>
        <w:t>非标准审计意见提示</w:t>
      </w:r>
    </w:p>
    <w:p w:rsidR="00C50D24" w:rsidRDefault="00E13FB1">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C50D24" w:rsidRDefault="00E13FB1">
      <w:pPr>
        <w:spacing w:before="100" w:after="40" w:line="240" w:lineRule="exact"/>
        <w:rPr>
          <w:rFonts w:ascii="宋体" w:eastAsia="宋体" w:hAnsi="宋体" w:cs="宋体"/>
          <w:sz w:val="18"/>
          <w:szCs w:val="18"/>
        </w:rPr>
      </w:pPr>
      <w:r>
        <w:rPr>
          <w:rFonts w:ascii="宋体" w:eastAsia="宋体" w:hAnsi="宋体" w:cs="宋体"/>
          <w:sz w:val="18"/>
          <w:szCs w:val="18"/>
        </w:rPr>
        <w:t>董事会审议的报告期普通股利润分配预案或公积金转增股本预案</w:t>
      </w:r>
    </w:p>
    <w:p w:rsidR="00C50D24" w:rsidRDefault="00E13FB1">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公司计划不派发现金红利，不送红股，不以公积金转增股本。</w:t>
      </w:r>
    </w:p>
    <w:p w:rsidR="00C50D24" w:rsidRDefault="00E13FB1">
      <w:pPr>
        <w:spacing w:before="100" w:after="100" w:line="240" w:lineRule="exact"/>
        <w:rPr>
          <w:rFonts w:ascii="宋体" w:eastAsia="宋体" w:hAnsi="宋体" w:cs="宋体"/>
          <w:sz w:val="18"/>
          <w:szCs w:val="18"/>
        </w:rPr>
      </w:pPr>
      <w:r>
        <w:rPr>
          <w:rFonts w:ascii="宋体" w:eastAsia="宋体" w:hAnsi="宋体" w:cs="宋体"/>
          <w:sz w:val="18"/>
          <w:szCs w:val="18"/>
        </w:rPr>
        <w:t>董事会决议通过的本报告期优先股利润分配预案</w:t>
      </w:r>
    </w:p>
    <w:p w:rsidR="00C50D24" w:rsidRDefault="00E13FB1">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C50D24" w:rsidRDefault="00E13FB1">
      <w:pPr>
        <w:pStyle w:val="2"/>
        <w:spacing w:before="300" w:after="300" w:line="320" w:lineRule="exact"/>
        <w:rPr>
          <w:rFonts w:ascii="宋体" w:eastAsia="宋体" w:hAnsi="宋体" w:cs="宋体"/>
          <w:b/>
          <w:bCs/>
          <w:sz w:val="24"/>
          <w:szCs w:val="24"/>
        </w:rPr>
      </w:pPr>
      <w:bookmarkStart w:id="1" w:name="_Toc988890"/>
      <w:r>
        <w:rPr>
          <w:rFonts w:ascii="宋体" w:eastAsia="宋体" w:hAnsi="宋体" w:cs="宋体"/>
          <w:b/>
          <w:bCs/>
          <w:sz w:val="24"/>
          <w:szCs w:val="24"/>
        </w:rPr>
        <w:t>二、公司基本情况</w:t>
      </w:r>
      <w:bookmarkEnd w:id="1"/>
    </w:p>
    <w:p w:rsidR="00C50D24" w:rsidRDefault="00E13FB1">
      <w:pPr>
        <w:pStyle w:val="3"/>
        <w:spacing w:line="280" w:lineRule="exact"/>
        <w:jc w:val="left"/>
        <w:rPr>
          <w:rFonts w:ascii="宋体" w:hAnsi="宋体" w:cs="宋体"/>
          <w:b/>
          <w:bCs/>
        </w:rPr>
      </w:pPr>
      <w:bookmarkStart w:id="2" w:name="_Toc988891"/>
      <w:r>
        <w:rPr>
          <w:rFonts w:ascii="宋体" w:hAnsi="宋体" w:cs="宋体"/>
          <w:b/>
          <w:bCs/>
        </w:rPr>
        <w:t>1、公司简介</w:t>
      </w:r>
      <w:bookmarkEnd w:id="2"/>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2142"/>
        <w:gridCol w:w="1071"/>
        <w:gridCol w:w="1071"/>
        <w:gridCol w:w="2142"/>
      </w:tblGrid>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股票简称</w:t>
            </w:r>
          </w:p>
        </w:tc>
        <w:tc>
          <w:tcPr>
            <w:tcW w:w="2142"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渤海股份</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股票代码</w:t>
            </w:r>
          </w:p>
        </w:tc>
        <w:tc>
          <w:tcPr>
            <w:tcW w:w="2142"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000605</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股票上市交易所</w:t>
            </w:r>
          </w:p>
        </w:tc>
        <w:tc>
          <w:tcPr>
            <w:tcW w:w="6426" w:type="dxa"/>
            <w:gridSpan w:val="4"/>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深圳证券交易所</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联系人和联系方式</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董事会秘书</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证券事务代表</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姓名</w:t>
            </w:r>
          </w:p>
        </w:tc>
        <w:tc>
          <w:tcPr>
            <w:tcW w:w="3213"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李新霞</w:t>
            </w:r>
          </w:p>
        </w:tc>
        <w:tc>
          <w:tcPr>
            <w:tcW w:w="3213"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刘杨</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办公地址</w:t>
            </w:r>
          </w:p>
        </w:tc>
        <w:tc>
          <w:tcPr>
            <w:tcW w:w="3213"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北京顺义区南法信镇机场北街8号院2幢航港国际大厦9层902</w:t>
            </w:r>
          </w:p>
        </w:tc>
        <w:tc>
          <w:tcPr>
            <w:tcW w:w="3213"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北京顺义区南法信镇机场北街8号院2幢航港国际大厦9层902</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电话</w:t>
            </w:r>
          </w:p>
        </w:tc>
        <w:tc>
          <w:tcPr>
            <w:tcW w:w="3213"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010-89586598</w:t>
            </w:r>
          </w:p>
        </w:tc>
        <w:tc>
          <w:tcPr>
            <w:tcW w:w="3213"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010-89586598</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电子信箱</w:t>
            </w:r>
          </w:p>
        </w:tc>
        <w:tc>
          <w:tcPr>
            <w:tcW w:w="3213"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dongmi@bohai-water.com</w:t>
            </w:r>
          </w:p>
        </w:tc>
        <w:tc>
          <w:tcPr>
            <w:tcW w:w="3213"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dongmi@bohai-water.com</w:t>
            </w:r>
          </w:p>
        </w:tc>
      </w:tr>
    </w:tbl>
    <w:p w:rsidR="00C50D24" w:rsidRDefault="00E13FB1">
      <w:pPr>
        <w:pStyle w:val="3"/>
        <w:spacing w:line="280" w:lineRule="exact"/>
        <w:jc w:val="left"/>
        <w:rPr>
          <w:rFonts w:ascii="宋体" w:hAnsi="宋体" w:cs="宋体"/>
          <w:b/>
          <w:bCs/>
        </w:rPr>
      </w:pPr>
      <w:bookmarkStart w:id="3" w:name="_Toc988892"/>
      <w:r>
        <w:rPr>
          <w:rFonts w:ascii="宋体" w:hAnsi="宋体" w:cs="宋体"/>
          <w:b/>
          <w:bCs/>
        </w:rPr>
        <w:t>2、主要财务数据和财务指标</w:t>
      </w:r>
      <w:bookmarkEnd w:id="3"/>
    </w:p>
    <w:p w:rsidR="00C50D24" w:rsidRDefault="00E13FB1">
      <w:pPr>
        <w:spacing w:line="240" w:lineRule="exact"/>
        <w:rPr>
          <w:rFonts w:ascii="宋体" w:eastAsia="宋体" w:hAnsi="宋体" w:cs="宋体"/>
          <w:sz w:val="18"/>
          <w:szCs w:val="18"/>
        </w:rPr>
      </w:pPr>
      <w:r>
        <w:rPr>
          <w:rFonts w:ascii="宋体" w:eastAsia="宋体" w:hAnsi="宋体" w:cs="宋体"/>
          <w:sz w:val="18"/>
          <w:szCs w:val="18"/>
        </w:rPr>
        <w:t>公司是否需追溯调整或重述以前年度会计数据</w:t>
      </w:r>
    </w:p>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是 □否</w:t>
      </w:r>
    </w:p>
    <w:p w:rsidR="00C50D24" w:rsidRDefault="00E13FB1">
      <w:pPr>
        <w:spacing w:before="100" w:after="100" w:line="240" w:lineRule="exact"/>
        <w:rPr>
          <w:rFonts w:ascii="宋体" w:eastAsia="宋体" w:hAnsi="宋体" w:cs="宋体"/>
          <w:sz w:val="18"/>
          <w:szCs w:val="18"/>
        </w:rPr>
      </w:pPr>
      <w:r>
        <w:rPr>
          <w:rFonts w:ascii="宋体" w:eastAsia="宋体" w:hAnsi="宋体" w:cs="宋体"/>
          <w:sz w:val="18"/>
          <w:szCs w:val="18"/>
        </w:rPr>
        <w:t>追溯调整或重述原因</w:t>
      </w:r>
    </w:p>
    <w:p w:rsidR="00C50D24" w:rsidRDefault="00E13FB1">
      <w:pPr>
        <w:spacing w:line="240" w:lineRule="exact"/>
        <w:rPr>
          <w:rFonts w:ascii="宋体" w:eastAsia="宋体" w:hAnsi="宋体" w:cs="宋体"/>
          <w:sz w:val="18"/>
          <w:szCs w:val="18"/>
        </w:rPr>
      </w:pPr>
      <w:r>
        <w:rPr>
          <w:rFonts w:ascii="宋体" w:eastAsia="宋体" w:hAnsi="宋体" w:cs="宋体"/>
          <w:sz w:val="18"/>
          <w:szCs w:val="18"/>
        </w:rPr>
        <w:t>会计政策变更</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4"/>
        <w:gridCol w:w="1606"/>
        <w:gridCol w:w="1606"/>
        <w:gridCol w:w="1607"/>
        <w:gridCol w:w="1606"/>
      </w:tblGrid>
      <w:tr w:rsidR="00C50D24">
        <w:trPr>
          <w:trHeight w:val="240"/>
        </w:trPr>
        <w:tc>
          <w:tcPr>
            <w:tcW w:w="321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本报告期</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上年同期</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本报告期比上年同期增减</w:t>
            </w:r>
          </w:p>
        </w:tc>
      </w:tr>
      <w:tr w:rsidR="00C50D24">
        <w:trPr>
          <w:trHeight w:val="240"/>
        </w:trPr>
        <w:tc>
          <w:tcPr>
            <w:tcW w:w="321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调整前</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调整后</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调整后</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lastRenderedPageBreak/>
              <w:t>营业收入（元）</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884,385,445.73</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874,256,870.05</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874,256,870.05</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1.16%</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归属于上市公司股东的净利润（元）</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12,013,920.61</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15,703,403.67</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16,012,150.23</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-24.97%</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归属于上市公司股东的扣除非经常性损益的净利润（元）</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8,251,328.02</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10,645,713.36</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10,954,459.92</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-24.68%</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经营活动产生的现金流量净额（元）</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16,196,156.73</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61,994,915.14</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61,994,915.14</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-73.88%</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基本每股收益（元/股）</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0.0341</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0.0445</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0.0454</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-24.89%</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稀释每股收益（元/股）</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0.0341</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0.0445</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0.0454</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-24.89%</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加权平均净资产收益率</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0.57%</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0.75%</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0.76%</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-0.19%</w:t>
            </w:r>
          </w:p>
        </w:tc>
      </w:tr>
      <w:tr w:rsidR="00C50D24">
        <w:trPr>
          <w:trHeight w:val="240"/>
        </w:trPr>
        <w:tc>
          <w:tcPr>
            <w:tcW w:w="321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本报告期末</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上年度末</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本报告期末比上年度末增减</w:t>
            </w:r>
          </w:p>
        </w:tc>
      </w:tr>
      <w:tr w:rsidR="00C50D24">
        <w:trPr>
          <w:trHeight w:val="240"/>
        </w:trPr>
        <w:tc>
          <w:tcPr>
            <w:tcW w:w="321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调整前</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调整后</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调整后</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总资产（元）</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7,882,926,078.87</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8,077,794,714.94</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8,105,133,543.02</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-2.74%</w:t>
            </w:r>
          </w:p>
        </w:tc>
      </w:tr>
      <w:tr w:rsidR="00C50D2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归属于上市公司股东的净资产（元）</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2,115,335,067.96</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2,102,642,336.38</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2,103,321,147.35</w:t>
            </w:r>
          </w:p>
        </w:tc>
        <w:tc>
          <w:tcPr>
            <w:tcW w:w="160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0.57%</w:t>
            </w:r>
          </w:p>
        </w:tc>
      </w:tr>
    </w:tbl>
    <w:p w:rsidR="00C50D24" w:rsidRPr="00F10E77" w:rsidRDefault="00E13FB1">
      <w:pPr>
        <w:spacing w:before="100" w:after="100" w:line="240" w:lineRule="exact"/>
        <w:rPr>
          <w:rFonts w:ascii="Times New Roman" w:hAnsi="Times New Roman" w:cs="Times New Roman"/>
          <w:sz w:val="18"/>
          <w:szCs w:val="18"/>
        </w:rPr>
      </w:pPr>
      <w:r w:rsidRPr="00F10E77">
        <w:rPr>
          <w:rFonts w:ascii="Times New Roman" w:hAnsi="Times New Roman" w:cs="Times New Roman"/>
          <w:sz w:val="18"/>
          <w:szCs w:val="18"/>
        </w:rPr>
        <w:t>会计政策变更的原因及会计差错更正的情况</w:t>
      </w:r>
    </w:p>
    <w:p w:rsidR="00DB5838" w:rsidRPr="00F10E77" w:rsidRDefault="00E13FB1" w:rsidP="00F10E77">
      <w:pPr>
        <w:spacing w:before="100" w:after="100" w:line="240" w:lineRule="exact"/>
        <w:divId w:val="1373457468"/>
        <w:rPr>
          <w:rFonts w:ascii="Times New Roman" w:hAnsi="Times New Roman" w:cs="Times New Roman"/>
          <w:sz w:val="18"/>
          <w:szCs w:val="18"/>
        </w:rPr>
      </w:pPr>
      <w:r w:rsidRPr="00F10E77">
        <w:rPr>
          <w:rFonts w:ascii="Times New Roman" w:hAnsi="Times New Roman" w:cs="Times New Roman" w:hint="eastAsia"/>
          <w:sz w:val="18"/>
          <w:szCs w:val="18"/>
        </w:rPr>
        <w:t xml:space="preserve">　　财政部于</w:t>
      </w:r>
      <w:r w:rsidRPr="00F10E77">
        <w:rPr>
          <w:rFonts w:ascii="Times New Roman" w:hAnsi="Times New Roman" w:cs="Times New Roman" w:hint="eastAsia"/>
          <w:sz w:val="18"/>
          <w:szCs w:val="18"/>
        </w:rPr>
        <w:t>2022</w:t>
      </w:r>
      <w:r w:rsidRPr="00F10E77">
        <w:rPr>
          <w:rFonts w:ascii="Times New Roman" w:hAnsi="Times New Roman" w:cs="Times New Roman" w:hint="eastAsia"/>
          <w:sz w:val="18"/>
          <w:szCs w:val="18"/>
        </w:rPr>
        <w:t>年</w:t>
      </w:r>
      <w:r w:rsidRPr="00F10E77">
        <w:rPr>
          <w:rFonts w:ascii="Times New Roman" w:hAnsi="Times New Roman" w:cs="Times New Roman" w:hint="eastAsia"/>
          <w:sz w:val="18"/>
          <w:szCs w:val="18"/>
        </w:rPr>
        <w:t>11</w:t>
      </w:r>
      <w:r w:rsidRPr="00F10E77">
        <w:rPr>
          <w:rFonts w:ascii="Times New Roman" w:hAnsi="Times New Roman" w:cs="Times New Roman" w:hint="eastAsia"/>
          <w:sz w:val="18"/>
          <w:szCs w:val="18"/>
        </w:rPr>
        <w:t>月</w:t>
      </w:r>
      <w:r w:rsidRPr="00F10E77">
        <w:rPr>
          <w:rFonts w:ascii="Times New Roman" w:hAnsi="Times New Roman" w:cs="Times New Roman" w:hint="eastAsia"/>
          <w:sz w:val="18"/>
          <w:szCs w:val="18"/>
        </w:rPr>
        <w:t>30</w:t>
      </w:r>
      <w:r w:rsidRPr="00F10E77">
        <w:rPr>
          <w:rFonts w:ascii="Times New Roman" w:hAnsi="Times New Roman" w:cs="Times New Roman" w:hint="eastAsia"/>
          <w:sz w:val="18"/>
          <w:szCs w:val="18"/>
        </w:rPr>
        <w:t>日发布实施《企业会计准则解释第</w:t>
      </w:r>
      <w:r w:rsidRPr="00F10E77">
        <w:rPr>
          <w:rFonts w:ascii="Times New Roman" w:hAnsi="Times New Roman" w:cs="Times New Roman" w:hint="eastAsia"/>
          <w:sz w:val="18"/>
          <w:szCs w:val="18"/>
        </w:rPr>
        <w:t>16</w:t>
      </w:r>
      <w:r w:rsidRPr="00F10E77">
        <w:rPr>
          <w:rFonts w:ascii="Times New Roman" w:hAnsi="Times New Roman" w:cs="Times New Roman" w:hint="eastAsia"/>
          <w:sz w:val="18"/>
          <w:szCs w:val="18"/>
        </w:rPr>
        <w:t>号》，其中“关于单项交易产生的资产和负债相关的递延所得税不适用初始确认豁免的会计处理”规定，自</w:t>
      </w:r>
      <w:r w:rsidRPr="00F10E77">
        <w:rPr>
          <w:rFonts w:ascii="Times New Roman" w:hAnsi="Times New Roman" w:cs="Times New Roman" w:hint="eastAsia"/>
          <w:sz w:val="18"/>
          <w:szCs w:val="18"/>
        </w:rPr>
        <w:t>2023</w:t>
      </w:r>
      <w:r w:rsidRPr="00F10E77">
        <w:rPr>
          <w:rFonts w:ascii="Times New Roman" w:hAnsi="Times New Roman" w:cs="Times New Roman" w:hint="eastAsia"/>
          <w:sz w:val="18"/>
          <w:szCs w:val="18"/>
        </w:rPr>
        <w:t>年</w:t>
      </w:r>
      <w:r w:rsidRPr="00F10E77">
        <w:rPr>
          <w:rFonts w:ascii="Times New Roman" w:hAnsi="Times New Roman" w:cs="Times New Roman" w:hint="eastAsia"/>
          <w:sz w:val="18"/>
          <w:szCs w:val="18"/>
        </w:rPr>
        <w:t>1</w:t>
      </w:r>
      <w:r w:rsidRPr="00F10E77">
        <w:rPr>
          <w:rFonts w:ascii="Times New Roman" w:hAnsi="Times New Roman" w:cs="Times New Roman" w:hint="eastAsia"/>
          <w:sz w:val="18"/>
          <w:szCs w:val="18"/>
        </w:rPr>
        <w:t>月</w:t>
      </w:r>
      <w:r w:rsidRPr="00F10E77">
        <w:rPr>
          <w:rFonts w:ascii="Times New Roman" w:hAnsi="Times New Roman" w:cs="Times New Roman" w:hint="eastAsia"/>
          <w:sz w:val="18"/>
          <w:szCs w:val="18"/>
        </w:rPr>
        <w:t>1</w:t>
      </w:r>
      <w:r w:rsidRPr="00F10E77">
        <w:rPr>
          <w:rFonts w:ascii="Times New Roman" w:hAnsi="Times New Roman" w:cs="Times New Roman" w:hint="eastAsia"/>
          <w:sz w:val="18"/>
          <w:szCs w:val="18"/>
        </w:rPr>
        <w:t>日起施行。对于在首次执行该规定的财务报表列报最早期间的期初因适用该规定的单项交易而确认的租赁负债和使用权资产，以及确认的弃置义务相关预计负债和对应的相关资产，产生应纳税暂时性差异和可抵扣暂时性差异的，本公司按照该规定和《企业会计准则第</w:t>
      </w:r>
      <w:r w:rsidRPr="00F10E77">
        <w:rPr>
          <w:rFonts w:ascii="Times New Roman" w:hAnsi="Times New Roman" w:cs="Times New Roman" w:hint="eastAsia"/>
          <w:sz w:val="18"/>
          <w:szCs w:val="18"/>
        </w:rPr>
        <w:t>18</w:t>
      </w:r>
      <w:r w:rsidRPr="00F10E77">
        <w:rPr>
          <w:rFonts w:ascii="Times New Roman" w:hAnsi="Times New Roman" w:cs="Times New Roman" w:hint="eastAsia"/>
          <w:sz w:val="18"/>
          <w:szCs w:val="18"/>
        </w:rPr>
        <w:t>号——所得税》的规定，将累计影响数调整财务报表列报最早期间的期初留存收益及其他相关财务报表项目。</w:t>
      </w:r>
    </w:p>
    <w:p w:rsidR="00DB5838" w:rsidRPr="00F10E77" w:rsidRDefault="00E13FB1" w:rsidP="00F10E77">
      <w:pPr>
        <w:spacing w:before="100" w:after="100" w:line="240" w:lineRule="exact"/>
        <w:divId w:val="1373457468"/>
        <w:rPr>
          <w:rFonts w:ascii="Times New Roman" w:hAnsi="Times New Roman" w:cs="Times New Roman"/>
          <w:sz w:val="18"/>
          <w:szCs w:val="18"/>
        </w:rPr>
      </w:pPr>
      <w:r w:rsidRPr="00F10E77">
        <w:rPr>
          <w:rFonts w:ascii="Times New Roman" w:hAnsi="Times New Roman" w:cs="Times New Roman" w:hint="eastAsia"/>
          <w:sz w:val="18"/>
          <w:szCs w:val="18"/>
        </w:rPr>
        <w:t xml:space="preserve">　　追溯调整数据见第十节中的“重要会计政策变更”。</w:t>
      </w:r>
    </w:p>
    <w:p w:rsidR="00C50D24" w:rsidRDefault="00E13FB1">
      <w:pPr>
        <w:pStyle w:val="3"/>
        <w:spacing w:line="280" w:lineRule="exact"/>
        <w:jc w:val="left"/>
        <w:rPr>
          <w:rFonts w:ascii="宋体" w:hAnsi="宋体" w:cs="宋体"/>
          <w:b/>
          <w:bCs/>
        </w:rPr>
      </w:pPr>
      <w:bookmarkStart w:id="4" w:name="_Toc988893"/>
      <w:r>
        <w:rPr>
          <w:rFonts w:ascii="宋体" w:hAnsi="宋体" w:cs="宋体"/>
          <w:b/>
          <w:bCs/>
        </w:rPr>
        <w:t>3、公司股东数量及持股情况</w:t>
      </w:r>
      <w:bookmarkEnd w:id="4"/>
    </w:p>
    <w:p w:rsidR="00C50D24" w:rsidRDefault="00E13FB1">
      <w:pPr>
        <w:spacing w:before="120" w:after="120" w:line="240" w:lineRule="exact"/>
        <w:jc w:val="right"/>
        <w:rPr>
          <w:rFonts w:ascii="宋体" w:eastAsia="宋体" w:hAnsi="宋体" w:cs="宋体"/>
          <w:sz w:val="18"/>
          <w:szCs w:val="18"/>
        </w:rPr>
      </w:pPr>
      <w:r>
        <w:rPr>
          <w:rFonts w:ascii="宋体" w:eastAsia="宋体" w:hAnsi="宋体" w:cs="宋体"/>
          <w:sz w:val="18"/>
          <w:szCs w:val="18"/>
        </w:rPr>
        <w:t>单位：股</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961"/>
        <w:gridCol w:w="2126"/>
        <w:gridCol w:w="1134"/>
        <w:gridCol w:w="1134"/>
      </w:tblGrid>
      <w:tr w:rsidR="00C50D24" w:rsidTr="00197FD9">
        <w:trPr>
          <w:trHeight w:val="240"/>
        </w:trPr>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报告期末普通股股东总数</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20,185</w:t>
            </w:r>
          </w:p>
        </w:tc>
        <w:tc>
          <w:tcPr>
            <w:tcW w:w="308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报告期末表决权恢复的优先股股东总数（如有）</w:t>
            </w: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w:t>
            </w:r>
          </w:p>
        </w:tc>
      </w:tr>
      <w:tr w:rsidR="00C50D24">
        <w:trPr>
          <w:trHeight w:val="240"/>
        </w:trPr>
        <w:tc>
          <w:tcPr>
            <w:tcW w:w="9639"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前10名股东持股情况</w:t>
            </w:r>
          </w:p>
        </w:tc>
      </w:tr>
      <w:tr w:rsidR="00C50D24" w:rsidTr="00197FD9">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股东性质</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持股比例</w:t>
            </w:r>
          </w:p>
        </w:tc>
        <w:tc>
          <w:tcPr>
            <w:tcW w:w="2032"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持股数量</w:t>
            </w:r>
          </w:p>
        </w:tc>
        <w:tc>
          <w:tcPr>
            <w:tcW w:w="212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持有有限售条件的股份数量</w:t>
            </w:r>
          </w:p>
        </w:tc>
        <w:tc>
          <w:tcPr>
            <w:tcW w:w="2268"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质押、标记或冻结情况</w:t>
            </w:r>
          </w:p>
        </w:tc>
      </w:tr>
      <w:tr w:rsidR="00C50D24" w:rsidTr="00197FD9">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2032"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212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C50D24"/>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股份状态</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jc w:val="center"/>
              <w:rPr>
                <w:rFonts w:ascii="宋体" w:eastAsia="宋体" w:hAnsi="宋体" w:cs="宋体"/>
                <w:sz w:val="18"/>
                <w:szCs w:val="18"/>
              </w:rPr>
            </w:pPr>
            <w:r>
              <w:rPr>
                <w:rFonts w:ascii="宋体" w:eastAsia="宋体" w:hAnsi="宋体" w:cs="宋体"/>
                <w:sz w:val="18"/>
                <w:szCs w:val="18"/>
              </w:rPr>
              <w:t>数量</w:t>
            </w:r>
          </w:p>
        </w:tc>
      </w:tr>
      <w:tr w:rsidR="00C50D24" w:rsidTr="00197FD9">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天津兴津企业管理有限公司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22.46%</w:t>
            </w:r>
          </w:p>
        </w:tc>
        <w:tc>
          <w:tcPr>
            <w:tcW w:w="2032"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79,200,321</w:t>
            </w:r>
          </w:p>
        </w:tc>
        <w:tc>
          <w:tcPr>
            <w:tcW w:w="212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jc w:val="right"/>
              <w:rPr>
                <w:rFonts w:ascii="宋体" w:eastAsia="宋体" w:hAnsi="宋体" w:cs="宋体"/>
                <w:sz w:val="18"/>
                <w:szCs w:val="18"/>
              </w:rPr>
            </w:pPr>
          </w:p>
        </w:tc>
      </w:tr>
      <w:tr w:rsidR="00C50D24" w:rsidTr="00197FD9">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天津水务集团有限公司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13.01%</w:t>
            </w:r>
          </w:p>
        </w:tc>
        <w:tc>
          <w:tcPr>
            <w:tcW w:w="2032"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45,868,731</w:t>
            </w:r>
          </w:p>
        </w:tc>
        <w:tc>
          <w:tcPr>
            <w:tcW w:w="212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jc w:val="right"/>
              <w:rPr>
                <w:rFonts w:ascii="宋体" w:eastAsia="宋体" w:hAnsi="宋体" w:cs="宋体"/>
                <w:sz w:val="18"/>
                <w:szCs w:val="18"/>
              </w:rPr>
            </w:pPr>
          </w:p>
        </w:tc>
      </w:tr>
      <w:tr w:rsidR="00D82222" w:rsidTr="00FE449A">
        <w:trPr>
          <w:trHeight w:val="240"/>
        </w:trPr>
        <w:tc>
          <w:tcPr>
            <w:tcW w:w="1071" w:type="dxa"/>
            <w:vMerge w:val="restart"/>
            <w:tcBorders>
              <w:top w:val="single" w:sz="2" w:space="0" w:color="auto"/>
              <w:left w:val="single" w:sz="2" w:space="0" w:color="auto"/>
              <w:right w:val="single" w:sz="2" w:space="0" w:color="auto"/>
            </w:tcBorders>
            <w:vAlign w:val="center"/>
          </w:tcPr>
          <w:p w:rsidR="00D82222" w:rsidRDefault="00D82222" w:rsidP="00011646">
            <w:pPr>
              <w:spacing w:line="240" w:lineRule="exact"/>
              <w:rPr>
                <w:rFonts w:ascii="宋体" w:eastAsia="宋体" w:hAnsi="宋体" w:cs="宋体" w:hint="eastAsia"/>
                <w:sz w:val="18"/>
                <w:szCs w:val="18"/>
              </w:rPr>
            </w:pPr>
            <w:r>
              <w:rPr>
                <w:rFonts w:ascii="宋体" w:eastAsia="宋体" w:hAnsi="宋体" w:cs="宋体"/>
                <w:sz w:val="18"/>
                <w:szCs w:val="18"/>
              </w:rPr>
              <w:t>李华青</w:t>
            </w:r>
          </w:p>
        </w:tc>
        <w:tc>
          <w:tcPr>
            <w:tcW w:w="1071" w:type="dxa"/>
            <w:vMerge w:val="restart"/>
            <w:tcBorders>
              <w:top w:val="single" w:sz="2" w:space="0" w:color="auto"/>
              <w:left w:val="single" w:sz="2" w:space="0" w:color="auto"/>
              <w:right w:val="single" w:sz="2" w:space="0" w:color="auto"/>
            </w:tcBorders>
            <w:vAlign w:val="center"/>
          </w:tcPr>
          <w:p w:rsidR="00D82222" w:rsidRDefault="00D82222" w:rsidP="009D0192">
            <w:pPr>
              <w:spacing w:line="240" w:lineRule="exact"/>
              <w:rPr>
                <w:rFonts w:ascii="宋体" w:eastAsia="宋体" w:hAnsi="宋体" w:cs="宋体" w:hint="eastAsia"/>
                <w:sz w:val="18"/>
                <w:szCs w:val="18"/>
              </w:rPr>
            </w:pPr>
            <w:r>
              <w:rPr>
                <w:rFonts w:ascii="宋体" w:eastAsia="宋体" w:hAnsi="宋体" w:cs="宋体"/>
                <w:sz w:val="18"/>
                <w:szCs w:val="18"/>
              </w:rPr>
              <w:t>境内自然人</w:t>
            </w:r>
          </w:p>
        </w:tc>
        <w:tc>
          <w:tcPr>
            <w:tcW w:w="1071" w:type="dxa"/>
            <w:vMerge w:val="restart"/>
            <w:tcBorders>
              <w:top w:val="single" w:sz="2" w:space="0" w:color="auto"/>
              <w:left w:val="single" w:sz="2" w:space="0" w:color="auto"/>
              <w:right w:val="single" w:sz="2" w:space="0" w:color="auto"/>
            </w:tcBorders>
            <w:vAlign w:val="center"/>
          </w:tcPr>
          <w:p w:rsidR="00D82222" w:rsidRDefault="00D82222" w:rsidP="00D82222">
            <w:pPr>
              <w:spacing w:line="240" w:lineRule="exact"/>
              <w:jc w:val="right"/>
              <w:rPr>
                <w:rFonts w:ascii="宋体" w:eastAsia="宋体" w:hAnsi="宋体" w:cs="宋体" w:hint="eastAsia"/>
                <w:sz w:val="18"/>
                <w:szCs w:val="18"/>
              </w:rPr>
            </w:pPr>
            <w:r>
              <w:rPr>
                <w:rFonts w:ascii="宋体" w:eastAsia="宋体" w:hAnsi="宋体" w:cs="宋体"/>
                <w:sz w:val="18"/>
                <w:szCs w:val="18"/>
              </w:rPr>
              <w:t>5.68%</w:t>
            </w:r>
          </w:p>
        </w:tc>
        <w:tc>
          <w:tcPr>
            <w:tcW w:w="2032" w:type="dxa"/>
            <w:gridSpan w:val="2"/>
            <w:vMerge w:val="restart"/>
            <w:tcBorders>
              <w:top w:val="single" w:sz="2" w:space="0" w:color="auto"/>
              <w:left w:val="single" w:sz="2" w:space="0" w:color="auto"/>
              <w:right w:val="single" w:sz="2" w:space="0" w:color="auto"/>
            </w:tcBorders>
            <w:vAlign w:val="center"/>
          </w:tcPr>
          <w:p w:rsidR="00D82222" w:rsidRDefault="00D82222">
            <w:pPr>
              <w:spacing w:line="240" w:lineRule="exact"/>
              <w:jc w:val="right"/>
              <w:rPr>
                <w:rFonts w:ascii="宋体" w:eastAsia="宋体" w:hAnsi="宋体" w:cs="宋体"/>
                <w:sz w:val="18"/>
                <w:szCs w:val="18"/>
              </w:rPr>
            </w:pPr>
            <w:r>
              <w:rPr>
                <w:rFonts w:ascii="宋体" w:eastAsia="宋体" w:hAnsi="宋体" w:cs="宋体"/>
                <w:sz w:val="18"/>
                <w:szCs w:val="18"/>
              </w:rPr>
              <w:t>20,019,883</w:t>
            </w:r>
          </w:p>
        </w:tc>
        <w:tc>
          <w:tcPr>
            <w:tcW w:w="2126" w:type="dxa"/>
            <w:vMerge w:val="restart"/>
            <w:tcBorders>
              <w:top w:val="single" w:sz="2" w:space="0" w:color="auto"/>
              <w:left w:val="single" w:sz="2" w:space="0" w:color="auto"/>
              <w:right w:val="single" w:sz="2" w:space="0" w:color="auto"/>
            </w:tcBorders>
            <w:vAlign w:val="center"/>
          </w:tcPr>
          <w:p w:rsidR="00D82222" w:rsidRDefault="00D82222">
            <w:pPr>
              <w:spacing w:line="240" w:lineRule="exact"/>
              <w:jc w:val="right"/>
              <w:rPr>
                <w:rFonts w:ascii="宋体" w:eastAsia="宋体" w:hAnsi="宋体" w:cs="宋体"/>
                <w:sz w:val="18"/>
                <w:szCs w:val="18"/>
              </w:rPr>
            </w:pPr>
            <w:bookmarkStart w:id="5" w:name="_GoBack"/>
            <w:bookmarkEnd w:id="5"/>
            <w:r>
              <w:rPr>
                <w:rFonts w:ascii="宋体" w:eastAsia="宋体" w:hAnsi="宋体" w:cs="宋体"/>
                <w:sz w:val="18"/>
                <w:szCs w:val="18"/>
              </w:rPr>
              <w:t>15,014,912</w:t>
            </w:r>
          </w:p>
        </w:tc>
        <w:tc>
          <w:tcPr>
            <w:tcW w:w="1134" w:type="dxa"/>
            <w:tcBorders>
              <w:top w:val="single" w:sz="2" w:space="0" w:color="auto"/>
              <w:left w:val="single" w:sz="2" w:space="0" w:color="auto"/>
              <w:bottom w:val="single" w:sz="2" w:space="0" w:color="auto"/>
              <w:right w:val="single" w:sz="2" w:space="0" w:color="auto"/>
            </w:tcBorders>
            <w:vAlign w:val="center"/>
          </w:tcPr>
          <w:p w:rsidR="00D82222" w:rsidRDefault="00D82222">
            <w:pPr>
              <w:spacing w:line="240" w:lineRule="exact"/>
              <w:rPr>
                <w:rFonts w:ascii="宋体" w:eastAsia="宋体" w:hAnsi="宋体" w:cs="宋体"/>
                <w:sz w:val="18"/>
                <w:szCs w:val="18"/>
              </w:rPr>
            </w:pPr>
            <w:r>
              <w:rPr>
                <w:rFonts w:ascii="宋体" w:eastAsia="宋体" w:hAnsi="宋体" w:cs="宋体"/>
                <w:sz w:val="18"/>
                <w:szCs w:val="18"/>
              </w:rPr>
              <w:t>质押</w:t>
            </w:r>
          </w:p>
        </w:tc>
        <w:tc>
          <w:tcPr>
            <w:tcW w:w="1134" w:type="dxa"/>
            <w:tcBorders>
              <w:top w:val="single" w:sz="2" w:space="0" w:color="auto"/>
              <w:left w:val="single" w:sz="2" w:space="0" w:color="auto"/>
              <w:bottom w:val="single" w:sz="2" w:space="0" w:color="auto"/>
              <w:right w:val="single" w:sz="2" w:space="0" w:color="auto"/>
            </w:tcBorders>
            <w:vAlign w:val="center"/>
          </w:tcPr>
          <w:p w:rsidR="00D82222" w:rsidRDefault="00D82222">
            <w:pPr>
              <w:spacing w:line="240" w:lineRule="exact"/>
              <w:jc w:val="right"/>
              <w:rPr>
                <w:rFonts w:ascii="宋体" w:eastAsia="宋体" w:hAnsi="宋体" w:cs="宋体"/>
                <w:sz w:val="18"/>
                <w:szCs w:val="18"/>
              </w:rPr>
            </w:pPr>
            <w:r>
              <w:rPr>
                <w:rFonts w:ascii="宋体" w:eastAsia="宋体" w:hAnsi="宋体" w:cs="宋体"/>
                <w:sz w:val="18"/>
                <w:szCs w:val="18"/>
              </w:rPr>
              <w:t>20,019,883</w:t>
            </w:r>
          </w:p>
        </w:tc>
      </w:tr>
      <w:tr w:rsidR="00D82222" w:rsidTr="00FE449A">
        <w:trPr>
          <w:trHeight w:val="240"/>
        </w:trPr>
        <w:tc>
          <w:tcPr>
            <w:tcW w:w="1071" w:type="dxa"/>
            <w:vMerge/>
            <w:tcBorders>
              <w:left w:val="single" w:sz="2" w:space="0" w:color="auto"/>
              <w:bottom w:val="single" w:sz="2" w:space="0" w:color="auto"/>
              <w:right w:val="single" w:sz="2" w:space="0" w:color="auto"/>
            </w:tcBorders>
            <w:vAlign w:val="center"/>
          </w:tcPr>
          <w:p w:rsidR="00D82222" w:rsidRDefault="00D82222">
            <w:pPr>
              <w:spacing w:line="240" w:lineRule="exact"/>
              <w:rPr>
                <w:rFonts w:ascii="宋体" w:eastAsia="宋体" w:hAnsi="宋体" w:cs="宋体"/>
                <w:sz w:val="18"/>
                <w:szCs w:val="18"/>
              </w:rPr>
            </w:pPr>
          </w:p>
        </w:tc>
        <w:tc>
          <w:tcPr>
            <w:tcW w:w="1071" w:type="dxa"/>
            <w:vMerge/>
            <w:tcBorders>
              <w:left w:val="single" w:sz="2" w:space="0" w:color="auto"/>
              <w:bottom w:val="single" w:sz="2" w:space="0" w:color="auto"/>
              <w:right w:val="single" w:sz="2" w:space="0" w:color="auto"/>
            </w:tcBorders>
            <w:vAlign w:val="center"/>
          </w:tcPr>
          <w:p w:rsidR="00D82222" w:rsidRDefault="00D82222">
            <w:pPr>
              <w:spacing w:line="240" w:lineRule="exact"/>
              <w:rPr>
                <w:rFonts w:ascii="宋体" w:eastAsia="宋体" w:hAnsi="宋体" w:cs="宋体"/>
                <w:sz w:val="18"/>
                <w:szCs w:val="18"/>
              </w:rPr>
            </w:pPr>
          </w:p>
        </w:tc>
        <w:tc>
          <w:tcPr>
            <w:tcW w:w="1071" w:type="dxa"/>
            <w:vMerge/>
            <w:tcBorders>
              <w:left w:val="single" w:sz="2" w:space="0" w:color="auto"/>
              <w:bottom w:val="single" w:sz="2" w:space="0" w:color="auto"/>
              <w:right w:val="single" w:sz="2" w:space="0" w:color="auto"/>
            </w:tcBorders>
            <w:vAlign w:val="center"/>
          </w:tcPr>
          <w:p w:rsidR="00D82222" w:rsidRDefault="00D82222">
            <w:pPr>
              <w:spacing w:line="240" w:lineRule="exact"/>
              <w:jc w:val="right"/>
              <w:rPr>
                <w:rFonts w:ascii="宋体" w:eastAsia="宋体" w:hAnsi="宋体" w:cs="宋体"/>
                <w:sz w:val="18"/>
                <w:szCs w:val="18"/>
              </w:rPr>
            </w:pPr>
          </w:p>
        </w:tc>
        <w:tc>
          <w:tcPr>
            <w:tcW w:w="2032" w:type="dxa"/>
            <w:gridSpan w:val="2"/>
            <w:vMerge/>
            <w:tcBorders>
              <w:left w:val="single" w:sz="2" w:space="0" w:color="auto"/>
              <w:bottom w:val="single" w:sz="2" w:space="0" w:color="auto"/>
              <w:right w:val="single" w:sz="2" w:space="0" w:color="auto"/>
            </w:tcBorders>
            <w:vAlign w:val="center"/>
          </w:tcPr>
          <w:p w:rsidR="00D82222" w:rsidRDefault="00D82222">
            <w:pPr>
              <w:spacing w:line="240" w:lineRule="exact"/>
              <w:jc w:val="right"/>
              <w:rPr>
                <w:rFonts w:ascii="宋体" w:eastAsia="宋体" w:hAnsi="宋体" w:cs="宋体"/>
                <w:sz w:val="18"/>
                <w:szCs w:val="18"/>
              </w:rPr>
            </w:pPr>
          </w:p>
        </w:tc>
        <w:tc>
          <w:tcPr>
            <w:tcW w:w="2126" w:type="dxa"/>
            <w:vMerge/>
            <w:tcBorders>
              <w:left w:val="single" w:sz="2" w:space="0" w:color="auto"/>
              <w:bottom w:val="single" w:sz="2" w:space="0" w:color="auto"/>
              <w:right w:val="single" w:sz="2" w:space="0" w:color="auto"/>
            </w:tcBorders>
            <w:vAlign w:val="center"/>
          </w:tcPr>
          <w:p w:rsidR="00D82222" w:rsidRDefault="00D82222">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D82222" w:rsidRDefault="00D82222">
            <w:pPr>
              <w:spacing w:line="240" w:lineRule="exact"/>
              <w:rPr>
                <w:rFonts w:ascii="宋体" w:eastAsia="宋体" w:hAnsi="宋体" w:cs="宋体"/>
                <w:sz w:val="18"/>
                <w:szCs w:val="18"/>
              </w:rPr>
            </w:pPr>
            <w:r>
              <w:rPr>
                <w:rFonts w:ascii="宋体" w:eastAsia="宋体" w:hAnsi="宋体" w:cs="宋体"/>
                <w:sz w:val="18"/>
                <w:szCs w:val="18"/>
              </w:rPr>
              <w:t>冻结</w:t>
            </w:r>
          </w:p>
        </w:tc>
        <w:tc>
          <w:tcPr>
            <w:tcW w:w="1134" w:type="dxa"/>
            <w:tcBorders>
              <w:top w:val="single" w:sz="2" w:space="0" w:color="auto"/>
              <w:left w:val="single" w:sz="2" w:space="0" w:color="auto"/>
              <w:bottom w:val="single" w:sz="2" w:space="0" w:color="auto"/>
              <w:right w:val="single" w:sz="2" w:space="0" w:color="auto"/>
            </w:tcBorders>
            <w:vAlign w:val="center"/>
          </w:tcPr>
          <w:p w:rsidR="00D82222" w:rsidRDefault="00D82222">
            <w:pPr>
              <w:spacing w:line="240" w:lineRule="exact"/>
              <w:jc w:val="right"/>
              <w:rPr>
                <w:rFonts w:ascii="宋体" w:eastAsia="宋体" w:hAnsi="宋体" w:cs="宋体"/>
                <w:sz w:val="18"/>
                <w:szCs w:val="18"/>
              </w:rPr>
            </w:pPr>
            <w:r>
              <w:rPr>
                <w:rFonts w:ascii="宋体" w:eastAsia="宋体" w:hAnsi="宋体" w:cs="宋体"/>
                <w:sz w:val="18"/>
                <w:szCs w:val="18"/>
              </w:rPr>
              <w:t>20,019,883</w:t>
            </w:r>
          </w:p>
        </w:tc>
      </w:tr>
      <w:tr w:rsidR="00C50D24" w:rsidTr="00197FD9">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天津市水利经济管理办公室</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4.82%</w:t>
            </w:r>
          </w:p>
        </w:tc>
        <w:tc>
          <w:tcPr>
            <w:tcW w:w="2032"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16,990,862</w:t>
            </w:r>
          </w:p>
        </w:tc>
        <w:tc>
          <w:tcPr>
            <w:tcW w:w="212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jc w:val="right"/>
              <w:rPr>
                <w:rFonts w:ascii="宋体" w:eastAsia="宋体" w:hAnsi="宋体" w:cs="宋体"/>
                <w:sz w:val="18"/>
                <w:szCs w:val="18"/>
              </w:rPr>
            </w:pPr>
          </w:p>
        </w:tc>
      </w:tr>
      <w:tr w:rsidR="00C50D24" w:rsidTr="00197FD9">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石家庄合力投资咨询中心（有限合伙）</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境内非国有法人</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1.83%</w:t>
            </w:r>
          </w:p>
        </w:tc>
        <w:tc>
          <w:tcPr>
            <w:tcW w:w="2032"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6,444,444</w:t>
            </w:r>
          </w:p>
        </w:tc>
        <w:tc>
          <w:tcPr>
            <w:tcW w:w="212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jc w:val="right"/>
              <w:rPr>
                <w:rFonts w:ascii="宋体" w:eastAsia="宋体" w:hAnsi="宋体" w:cs="宋体"/>
                <w:sz w:val="18"/>
                <w:szCs w:val="18"/>
              </w:rPr>
            </w:pPr>
          </w:p>
        </w:tc>
      </w:tr>
      <w:tr w:rsidR="00C50D24" w:rsidTr="00197FD9">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北京宏儒和愉投资管理有限</w:t>
            </w:r>
            <w:r>
              <w:rPr>
                <w:rFonts w:ascii="宋体" w:eastAsia="宋体" w:hAnsi="宋体" w:cs="宋体"/>
                <w:sz w:val="18"/>
                <w:szCs w:val="18"/>
              </w:rPr>
              <w:lastRenderedPageBreak/>
              <w:t>公司－苏州弘德源投资管理中心（有限合伙）</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lastRenderedPageBreak/>
              <w:t>其他</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1.21%</w:t>
            </w:r>
          </w:p>
        </w:tc>
        <w:tc>
          <w:tcPr>
            <w:tcW w:w="2032"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4,278,500</w:t>
            </w:r>
          </w:p>
        </w:tc>
        <w:tc>
          <w:tcPr>
            <w:tcW w:w="212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jc w:val="right"/>
              <w:rPr>
                <w:rFonts w:ascii="宋体" w:eastAsia="宋体" w:hAnsi="宋体" w:cs="宋体"/>
                <w:sz w:val="18"/>
                <w:szCs w:val="18"/>
              </w:rPr>
            </w:pPr>
          </w:p>
        </w:tc>
      </w:tr>
      <w:tr w:rsidR="00C50D24" w:rsidTr="00197FD9">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天津渤海发展股权投资基金有限公司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0.74%</w:t>
            </w:r>
          </w:p>
        </w:tc>
        <w:tc>
          <w:tcPr>
            <w:tcW w:w="2032"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2,610,165</w:t>
            </w:r>
          </w:p>
        </w:tc>
        <w:tc>
          <w:tcPr>
            <w:tcW w:w="212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jc w:val="right"/>
              <w:rPr>
                <w:rFonts w:ascii="宋体" w:eastAsia="宋体" w:hAnsi="宋体" w:cs="宋体"/>
                <w:sz w:val="18"/>
                <w:szCs w:val="18"/>
              </w:rPr>
            </w:pPr>
          </w:p>
        </w:tc>
      </w:tr>
      <w:tr w:rsidR="00C50D24" w:rsidTr="00197FD9">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广发证券股份有限公司－博道成长智航股票型证券投资基金</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其他</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0.51%</w:t>
            </w:r>
          </w:p>
        </w:tc>
        <w:tc>
          <w:tcPr>
            <w:tcW w:w="2032"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1,792,600</w:t>
            </w:r>
          </w:p>
        </w:tc>
        <w:tc>
          <w:tcPr>
            <w:tcW w:w="212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jc w:val="right"/>
              <w:rPr>
                <w:rFonts w:ascii="宋体" w:eastAsia="宋体" w:hAnsi="宋体" w:cs="宋体"/>
                <w:sz w:val="18"/>
                <w:szCs w:val="18"/>
              </w:rPr>
            </w:pPr>
          </w:p>
        </w:tc>
      </w:tr>
      <w:tr w:rsidR="00C50D24" w:rsidTr="00197FD9">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翟育豹</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0.50%</w:t>
            </w:r>
          </w:p>
        </w:tc>
        <w:tc>
          <w:tcPr>
            <w:tcW w:w="2032"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1,780,500</w:t>
            </w:r>
          </w:p>
        </w:tc>
        <w:tc>
          <w:tcPr>
            <w:tcW w:w="212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jc w:val="right"/>
              <w:rPr>
                <w:rFonts w:ascii="宋体" w:eastAsia="宋体" w:hAnsi="宋体" w:cs="宋体"/>
                <w:sz w:val="18"/>
                <w:szCs w:val="18"/>
              </w:rPr>
            </w:pPr>
          </w:p>
        </w:tc>
      </w:tr>
      <w:tr w:rsidR="00C50D24" w:rsidTr="00197FD9">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林洁龙</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071"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0.36%</w:t>
            </w:r>
          </w:p>
        </w:tc>
        <w:tc>
          <w:tcPr>
            <w:tcW w:w="2032" w:type="dxa"/>
            <w:gridSpan w:val="2"/>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1,272,500</w:t>
            </w:r>
          </w:p>
        </w:tc>
        <w:tc>
          <w:tcPr>
            <w:tcW w:w="2126" w:type="dxa"/>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C50D24" w:rsidRDefault="00C50D24">
            <w:pPr>
              <w:spacing w:line="240" w:lineRule="exact"/>
              <w:jc w:val="right"/>
              <w:rPr>
                <w:rFonts w:ascii="宋体" w:eastAsia="宋体" w:hAnsi="宋体" w:cs="宋体"/>
                <w:sz w:val="18"/>
                <w:szCs w:val="18"/>
              </w:rPr>
            </w:pPr>
          </w:p>
        </w:tc>
      </w:tr>
      <w:tr w:rsidR="00C50D24">
        <w:trPr>
          <w:trHeight w:val="240"/>
        </w:trPr>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上述股东关联关系或一致行动的说明</w:t>
            </w:r>
          </w:p>
        </w:tc>
        <w:tc>
          <w:tcPr>
            <w:tcW w:w="7497" w:type="dxa"/>
            <w:gridSpan w:val="6"/>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兴津公司与水务集团为一致行动人，与其他股东不属于一致行动人。李华青与石家庄合力为一致行动人，与其他股东不属于一致行动人。本公司未知其他股东之间是否存在关联关系，也未知其他股东是否属于一致行动人。</w:t>
            </w:r>
          </w:p>
        </w:tc>
      </w:tr>
      <w:tr w:rsidR="00C50D24">
        <w:trPr>
          <w:trHeight w:val="240"/>
        </w:trPr>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参与融资融券业务股东情况说明（如有）</w:t>
            </w:r>
          </w:p>
        </w:tc>
        <w:tc>
          <w:tcPr>
            <w:tcW w:w="7497" w:type="dxa"/>
            <w:gridSpan w:val="6"/>
            <w:tcBorders>
              <w:top w:val="single" w:sz="2" w:space="0" w:color="auto"/>
              <w:left w:val="single" w:sz="2" w:space="0" w:color="auto"/>
              <w:bottom w:val="single" w:sz="2" w:space="0" w:color="auto"/>
              <w:right w:val="single" w:sz="2" w:space="0" w:color="auto"/>
            </w:tcBorders>
            <w:vAlign w:val="center"/>
          </w:tcPr>
          <w:p w:rsidR="00C50D24" w:rsidRDefault="00E13FB1">
            <w:pPr>
              <w:spacing w:line="240" w:lineRule="exact"/>
              <w:rPr>
                <w:rFonts w:ascii="宋体" w:eastAsia="宋体" w:hAnsi="宋体" w:cs="宋体"/>
                <w:sz w:val="18"/>
                <w:szCs w:val="18"/>
              </w:rPr>
            </w:pPr>
            <w:r>
              <w:rPr>
                <w:rFonts w:ascii="宋体" w:eastAsia="宋体" w:hAnsi="宋体" w:cs="宋体"/>
                <w:sz w:val="18"/>
                <w:szCs w:val="18"/>
              </w:rPr>
              <w:t>无</w:t>
            </w:r>
          </w:p>
        </w:tc>
      </w:tr>
    </w:tbl>
    <w:p w:rsidR="00C50D24" w:rsidRDefault="00E13FB1">
      <w:pPr>
        <w:pStyle w:val="3"/>
        <w:spacing w:line="280" w:lineRule="exact"/>
        <w:jc w:val="left"/>
        <w:rPr>
          <w:rFonts w:ascii="宋体" w:hAnsi="宋体" w:cs="宋体"/>
          <w:b/>
          <w:bCs/>
        </w:rPr>
      </w:pPr>
      <w:bookmarkStart w:id="6" w:name="_Toc988894"/>
      <w:r>
        <w:rPr>
          <w:rFonts w:ascii="宋体" w:hAnsi="宋体" w:cs="宋体"/>
          <w:b/>
          <w:bCs/>
        </w:rPr>
        <w:t>4、控股股东或实际控制人变更情况</w:t>
      </w:r>
      <w:bookmarkEnd w:id="6"/>
    </w:p>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控股股东报告期内变更</w:t>
      </w:r>
    </w:p>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公司报告期控股股东未发生变更。</w:t>
      </w:r>
    </w:p>
    <w:p w:rsidR="00C50D24" w:rsidRDefault="00E13FB1">
      <w:pPr>
        <w:spacing w:before="100" w:after="100" w:line="240" w:lineRule="exact"/>
        <w:rPr>
          <w:rFonts w:ascii="宋体" w:eastAsia="宋体" w:hAnsi="宋体" w:cs="宋体"/>
          <w:sz w:val="18"/>
          <w:szCs w:val="18"/>
        </w:rPr>
      </w:pPr>
      <w:r>
        <w:rPr>
          <w:rFonts w:ascii="宋体" w:eastAsia="宋体" w:hAnsi="宋体" w:cs="宋体"/>
          <w:sz w:val="18"/>
          <w:szCs w:val="18"/>
        </w:rPr>
        <w:t>实际控制人报告期内变更</w:t>
      </w:r>
    </w:p>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公司报告期实际控制人未发生变更。</w:t>
      </w:r>
    </w:p>
    <w:p w:rsidR="00C50D24" w:rsidRDefault="00E13FB1">
      <w:pPr>
        <w:pStyle w:val="3"/>
        <w:spacing w:line="280" w:lineRule="exact"/>
        <w:jc w:val="left"/>
        <w:rPr>
          <w:rFonts w:ascii="宋体" w:hAnsi="宋体" w:cs="宋体"/>
          <w:b/>
          <w:bCs/>
        </w:rPr>
      </w:pPr>
      <w:bookmarkStart w:id="7" w:name="_Toc988895"/>
      <w:r>
        <w:rPr>
          <w:rFonts w:ascii="宋体" w:hAnsi="宋体" w:cs="宋体"/>
          <w:b/>
          <w:bCs/>
        </w:rPr>
        <w:t>5、公司优先股股东总数及前10名优先股股东持股情况表</w:t>
      </w:r>
      <w:bookmarkEnd w:id="7"/>
    </w:p>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C50D24" w:rsidRDefault="00E13FB1">
      <w:pPr>
        <w:spacing w:line="240" w:lineRule="exact"/>
        <w:rPr>
          <w:rFonts w:ascii="宋体" w:eastAsia="宋体" w:hAnsi="宋体" w:cs="宋体"/>
          <w:sz w:val="18"/>
          <w:szCs w:val="18"/>
        </w:rPr>
      </w:pPr>
      <w:r>
        <w:rPr>
          <w:rFonts w:ascii="宋体" w:eastAsia="宋体" w:hAnsi="宋体" w:cs="宋体"/>
          <w:sz w:val="18"/>
          <w:szCs w:val="18"/>
        </w:rPr>
        <w:t>公司报告期无优先股股东持股情况。</w:t>
      </w:r>
    </w:p>
    <w:p w:rsidR="00C50D24" w:rsidRDefault="00E13FB1">
      <w:pPr>
        <w:pStyle w:val="3"/>
        <w:spacing w:line="280" w:lineRule="exact"/>
        <w:jc w:val="left"/>
        <w:rPr>
          <w:rFonts w:ascii="宋体" w:hAnsi="宋体" w:cs="宋体"/>
          <w:b/>
          <w:bCs/>
        </w:rPr>
      </w:pPr>
      <w:bookmarkStart w:id="8" w:name="_Toc988896"/>
      <w:r>
        <w:rPr>
          <w:rFonts w:ascii="宋体" w:hAnsi="宋体" w:cs="宋体"/>
          <w:b/>
          <w:bCs/>
        </w:rPr>
        <w:t>6、在半年度报告批准报出日存续的债券情况</w:t>
      </w:r>
      <w:bookmarkEnd w:id="8"/>
    </w:p>
    <w:p w:rsidR="00C50D24" w:rsidRDefault="00E13FB1">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C50D24" w:rsidRDefault="00E13FB1">
      <w:pPr>
        <w:pStyle w:val="2"/>
        <w:spacing w:before="300" w:after="300" w:line="320" w:lineRule="exact"/>
        <w:rPr>
          <w:rFonts w:ascii="宋体" w:eastAsia="宋体" w:hAnsi="宋体" w:cs="宋体"/>
          <w:b/>
          <w:bCs/>
          <w:sz w:val="24"/>
          <w:szCs w:val="24"/>
        </w:rPr>
      </w:pPr>
      <w:bookmarkStart w:id="9" w:name="_Toc988897"/>
      <w:r>
        <w:rPr>
          <w:rFonts w:ascii="宋体" w:eastAsia="宋体" w:hAnsi="宋体" w:cs="宋体"/>
          <w:b/>
          <w:bCs/>
          <w:sz w:val="24"/>
          <w:szCs w:val="24"/>
        </w:rPr>
        <w:t>三、重要事项</w:t>
      </w:r>
      <w:bookmarkEnd w:id="9"/>
    </w:p>
    <w:p w:rsidR="00E13FB1" w:rsidRDefault="00E13FB1">
      <w:pPr>
        <w:pStyle w:val="a3"/>
        <w:divId w:val="986663365"/>
        <w:rPr>
          <w:sz w:val="18"/>
          <w:szCs w:val="18"/>
        </w:rPr>
      </w:pPr>
      <w:r>
        <w:rPr>
          <w:rFonts w:hint="eastAsia"/>
          <w:sz w:val="18"/>
          <w:szCs w:val="18"/>
        </w:rPr>
        <w:t>无</w:t>
      </w:r>
    </w:p>
    <w:sectPr w:rsidR="00E13FB1">
      <w:headerReference w:type="default" r:id="rId6"/>
      <w:footerReference w:type="default" r:id="rId7"/>
      <w:pgSz w:w="11905" w:h="16840"/>
      <w:pgMar w:top="1440" w:right="1134" w:bottom="1440" w:left="1134" w:header="850"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A5C" w:rsidRDefault="000C5A5C">
      <w:r>
        <w:separator/>
      </w:r>
    </w:p>
  </w:endnote>
  <w:endnote w:type="continuationSeparator" w:id="0">
    <w:p w:rsidR="000C5A5C" w:rsidRDefault="000C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24" w:rsidRDefault="00E13FB1">
    <w:pPr>
      <w:pStyle w:val="fotter1"/>
    </w:pPr>
    <w:r>
      <w:fldChar w:fldCharType="begin"/>
    </w:r>
    <w:r>
      <w:instrText>PAGE   \* MERGEFORMAT</w:instrText>
    </w:r>
    <w:r>
      <w:fldChar w:fldCharType="separate"/>
    </w:r>
    <w:r w:rsidR="00D8222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A5C" w:rsidRDefault="000C5A5C">
      <w:r>
        <w:separator/>
      </w:r>
    </w:p>
  </w:footnote>
  <w:footnote w:type="continuationSeparator" w:id="0">
    <w:p w:rsidR="000C5A5C" w:rsidRDefault="000C5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24" w:rsidRDefault="00E13FB1">
    <w:pPr>
      <w:pStyle w:val="Header1"/>
      <w:pBdr>
        <w:bottom w:val="single" w:sz="6" w:space="1" w:color="auto"/>
      </w:pBdr>
    </w:pPr>
    <w:r>
      <w:t>渤海水业股份有限公司2023年半年度报告摘要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C50D24"/>
    <w:rsid w:val="000C5A5C"/>
    <w:rsid w:val="00197FD9"/>
    <w:rsid w:val="0047270E"/>
    <w:rsid w:val="004F7E8A"/>
    <w:rsid w:val="0079181A"/>
    <w:rsid w:val="008C6AF2"/>
    <w:rsid w:val="00AD24DE"/>
    <w:rsid w:val="00C50D24"/>
    <w:rsid w:val="00CD555F"/>
    <w:rsid w:val="00D82222"/>
    <w:rsid w:val="00DB5838"/>
    <w:rsid w:val="00E13FB1"/>
    <w:rsid w:val="00F1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F9DCF-AADF-476A-9223-A755C04B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semiHidden/>
    <w:unhideWhenUsed/>
    <w:pPr>
      <w:widowControl/>
      <w:spacing w:before="100" w:beforeAutospacing="1" w:after="100" w:afterAutospacing="1"/>
    </w:pPr>
    <w:rPr>
      <w:rFonts w:ascii="宋体" w:eastAsia="宋体" w:hAnsi="宋体" w:cs="宋体"/>
      <w:kern w:val="0"/>
      <w:sz w:val="24"/>
      <w:szCs w:val="24"/>
    </w:rPr>
  </w:style>
  <w:style w:type="paragraph" w:styleId="a4">
    <w:name w:val="header"/>
    <w:basedOn w:val="a"/>
    <w:link w:val="Char"/>
    <w:uiPriority w:val="99"/>
    <w:unhideWhenUsed/>
    <w:rsid w:val="00791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181A"/>
    <w:rPr>
      <w:sz w:val="18"/>
      <w:szCs w:val="18"/>
    </w:rPr>
  </w:style>
  <w:style w:type="paragraph" w:styleId="a5">
    <w:name w:val="footer"/>
    <w:basedOn w:val="a"/>
    <w:link w:val="Char0"/>
    <w:uiPriority w:val="99"/>
    <w:unhideWhenUsed/>
    <w:rsid w:val="0079181A"/>
    <w:pPr>
      <w:tabs>
        <w:tab w:val="center" w:pos="4153"/>
        <w:tab w:val="right" w:pos="8306"/>
      </w:tabs>
      <w:snapToGrid w:val="0"/>
    </w:pPr>
    <w:rPr>
      <w:sz w:val="18"/>
      <w:szCs w:val="18"/>
    </w:rPr>
  </w:style>
  <w:style w:type="character" w:customStyle="1" w:styleId="Char0">
    <w:name w:val="页脚 Char"/>
    <w:basedOn w:val="a0"/>
    <w:link w:val="a5"/>
    <w:uiPriority w:val="99"/>
    <w:rsid w:val="007918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63365">
      <w:bodyDiv w:val="1"/>
      <w:marLeft w:val="0"/>
      <w:marRight w:val="0"/>
      <w:marTop w:val="0"/>
      <w:marBottom w:val="0"/>
      <w:divBdr>
        <w:top w:val="none" w:sz="0" w:space="0" w:color="auto"/>
        <w:left w:val="none" w:sz="0" w:space="0" w:color="auto"/>
        <w:bottom w:val="none" w:sz="0" w:space="0" w:color="auto"/>
        <w:right w:val="none" w:sz="0" w:space="0" w:color="auto"/>
      </w:divBdr>
    </w:div>
    <w:div w:id="137345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361</Words>
  <Characters>2063</Characters>
  <Application>Microsoft Office Word</Application>
  <DocSecurity>0</DocSecurity>
  <Lines>17</Lines>
  <Paragraphs>4</Paragraphs>
  <ScaleCrop>false</ScaleCrop>
  <Company>Microsoft</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王梓</cp:lastModifiedBy>
  <cp:revision>11</cp:revision>
  <dcterms:created xsi:type="dcterms:W3CDTF">2023-08-16T07:32:00Z</dcterms:created>
  <dcterms:modified xsi:type="dcterms:W3CDTF">2023-08-30T04:53:00Z</dcterms:modified>
</cp:coreProperties>
</file>