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A6" w:rsidRPr="00F55A22" w:rsidRDefault="004F1BA6" w:rsidP="00976E2F">
      <w:pPr>
        <w:spacing w:line="560" w:lineRule="exact"/>
        <w:rPr>
          <w:rFonts w:ascii="Times New Roman" w:hAnsi="Times New Roman"/>
          <w:sz w:val="24"/>
        </w:rPr>
      </w:pPr>
      <w:bookmarkStart w:id="0" w:name="_GoBack"/>
      <w:bookmarkEnd w:id="0"/>
      <w:r w:rsidRPr="00F55A22">
        <w:rPr>
          <w:rFonts w:ascii="Times New Roman" w:hAnsi="Times New Roman"/>
          <w:sz w:val="24"/>
        </w:rPr>
        <w:t>证券代码：</w:t>
      </w:r>
      <w:r w:rsidRPr="00F55A22">
        <w:rPr>
          <w:rFonts w:ascii="Times New Roman" w:hAnsi="Times New Roman"/>
          <w:sz w:val="24"/>
        </w:rPr>
        <w:t xml:space="preserve">000605         </w:t>
      </w:r>
      <w:r w:rsidRPr="00F55A22">
        <w:rPr>
          <w:rFonts w:ascii="Times New Roman" w:hAnsi="Times New Roman"/>
          <w:sz w:val="24"/>
        </w:rPr>
        <w:t>证券简称：渤海股份</w:t>
      </w:r>
      <w:r w:rsidRPr="00F55A22">
        <w:rPr>
          <w:rFonts w:ascii="Times New Roman" w:hAnsi="Times New Roman"/>
          <w:sz w:val="24"/>
        </w:rPr>
        <w:t xml:space="preserve">        </w:t>
      </w:r>
      <w:r w:rsidRPr="00F55A22">
        <w:rPr>
          <w:rFonts w:ascii="Times New Roman" w:hAnsi="Times New Roman"/>
          <w:sz w:val="24"/>
        </w:rPr>
        <w:t>公告编号：</w:t>
      </w:r>
      <w:r w:rsidR="00977A7B" w:rsidRPr="00F55A22">
        <w:rPr>
          <w:rFonts w:ascii="Times New Roman" w:hAnsi="Times New Roman"/>
          <w:sz w:val="24"/>
        </w:rPr>
        <w:t>202</w:t>
      </w:r>
      <w:r w:rsidR="001671C5" w:rsidRPr="00F55A22">
        <w:rPr>
          <w:rFonts w:ascii="Times New Roman" w:hAnsi="Times New Roman"/>
          <w:sz w:val="24"/>
        </w:rPr>
        <w:t>4</w:t>
      </w:r>
      <w:r w:rsidR="004A07CC" w:rsidRPr="00F55A22">
        <w:rPr>
          <w:rFonts w:ascii="Times New Roman" w:hAnsi="Times New Roman"/>
          <w:sz w:val="24"/>
        </w:rPr>
        <w:t>-</w:t>
      </w:r>
      <w:r w:rsidR="00976E2F" w:rsidRPr="00F55A22">
        <w:rPr>
          <w:rFonts w:ascii="Times New Roman" w:hAnsi="Times New Roman"/>
          <w:sz w:val="24"/>
        </w:rPr>
        <w:t>029</w:t>
      </w:r>
    </w:p>
    <w:p w:rsidR="004F1BA6" w:rsidRPr="00F55A22" w:rsidRDefault="004F1BA6" w:rsidP="001671C5">
      <w:pPr>
        <w:ind w:firstLineChars="200" w:firstLine="480"/>
        <w:rPr>
          <w:rFonts w:ascii="Times New Roman" w:hAnsi="Times New Roman"/>
          <w:kern w:val="0"/>
          <w:sz w:val="24"/>
        </w:rPr>
      </w:pPr>
    </w:p>
    <w:p w:rsidR="004F1BA6" w:rsidRPr="00F55A22" w:rsidRDefault="004F1BA6" w:rsidP="005B65C5">
      <w:pPr>
        <w:jc w:val="center"/>
        <w:rPr>
          <w:rFonts w:ascii="Times New Roman" w:hAnsi="Times New Roman"/>
          <w:b/>
          <w:sz w:val="32"/>
          <w:szCs w:val="20"/>
        </w:rPr>
      </w:pPr>
      <w:r w:rsidRPr="00F55A22">
        <w:rPr>
          <w:rFonts w:ascii="Times New Roman" w:hAnsi="Times New Roman"/>
          <w:b/>
          <w:sz w:val="32"/>
        </w:rPr>
        <w:t>渤海水业股份有限公司</w:t>
      </w:r>
    </w:p>
    <w:p w:rsidR="004F1BA6" w:rsidRPr="00F55A22" w:rsidRDefault="003654D1" w:rsidP="005B65C5">
      <w:pPr>
        <w:spacing w:line="560" w:lineRule="exact"/>
        <w:jc w:val="center"/>
        <w:rPr>
          <w:rFonts w:ascii="Times New Roman" w:hAnsi="Times New Roman"/>
          <w:b/>
          <w:sz w:val="32"/>
        </w:rPr>
      </w:pPr>
      <w:r w:rsidRPr="00F55A22">
        <w:rPr>
          <w:rFonts w:ascii="Times New Roman" w:hAnsi="Times New Roman"/>
          <w:b/>
          <w:noProof/>
          <w:sz w:val="32"/>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506095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4F1BA6" w:rsidRDefault="004F1BA6">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484786">
                              <w:rPr>
                                <w:rFonts w:ascii="宋体" w:hAnsi="宋体" w:hint="eastAsia"/>
                                <w:b/>
                                <w:sz w:val="24"/>
                              </w:rPr>
                              <w:t>、</w:t>
                            </w:r>
                            <w:r>
                              <w:rPr>
                                <w:rFonts w:ascii="宋体" w:hAnsi="宋体" w:hint="eastAsia"/>
                                <w:b/>
                                <w:sz w:val="24"/>
                              </w:rPr>
                              <w:t>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9.8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">
                <v:stroke miterlimit="2"/>
                <v:textbox>
                  <w:txbxContent>
                    <w:p w:rsidR="004F1BA6" w:rsidRDefault="004F1BA6">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484786">
                        <w:rPr>
                          <w:rFonts w:ascii="宋体" w:hAnsi="宋体" w:hint="eastAsia"/>
                          <w:b/>
                          <w:sz w:val="24"/>
                        </w:rPr>
                        <w:t>、</w:t>
                      </w:r>
                      <w:r>
                        <w:rPr>
                          <w:rFonts w:ascii="宋体" w:hAnsi="宋体" w:hint="eastAsia"/>
                          <w:b/>
                          <w:sz w:val="24"/>
                        </w:rPr>
                        <w:t>完整，没有虚假记载、误导性陈述或重大遗漏。</w:t>
                      </w:r>
                    </w:p>
                  </w:txbxContent>
                </v:textbox>
                <w10:wrap type="square"/>
              </v:shape>
            </w:pict>
          </mc:Fallback>
        </mc:AlternateContent>
      </w:r>
      <w:r w:rsidR="004F1BA6" w:rsidRPr="00F55A22">
        <w:rPr>
          <w:rFonts w:ascii="Times New Roman" w:hAnsi="Times New Roman"/>
          <w:b/>
          <w:sz w:val="32"/>
        </w:rPr>
        <w:t>关于计提资产减值准备的公告</w:t>
      </w:r>
    </w:p>
    <w:p w:rsidR="004F1BA6" w:rsidRPr="00F55A22" w:rsidRDefault="004F1BA6" w:rsidP="001671C5">
      <w:pPr>
        <w:spacing w:line="360" w:lineRule="auto"/>
        <w:ind w:firstLineChars="200" w:firstLine="480"/>
        <w:rPr>
          <w:rFonts w:ascii="Times New Roman" w:hAnsi="Times New Roman"/>
          <w:sz w:val="24"/>
        </w:rPr>
      </w:pPr>
    </w:p>
    <w:p w:rsidR="004F1BA6" w:rsidRPr="00F55A22" w:rsidRDefault="004F1BA6" w:rsidP="001671C5">
      <w:pPr>
        <w:adjustRightInd w:val="0"/>
        <w:spacing w:line="360" w:lineRule="auto"/>
        <w:ind w:firstLineChars="200" w:firstLine="480"/>
        <w:rPr>
          <w:rFonts w:ascii="Times New Roman" w:hAnsi="Times New Roman"/>
          <w:sz w:val="24"/>
        </w:rPr>
      </w:pPr>
      <w:r w:rsidRPr="00F55A22">
        <w:rPr>
          <w:rFonts w:ascii="Times New Roman" w:hAnsi="Times New Roman"/>
          <w:sz w:val="24"/>
        </w:rPr>
        <w:t>为真实反映渤海水业股份有限公司（以下简称</w:t>
      </w:r>
      <w:r w:rsidRPr="00F55A22">
        <w:rPr>
          <w:rFonts w:ascii="Times New Roman" w:hAnsi="Times New Roman"/>
          <w:sz w:val="24"/>
        </w:rPr>
        <w:t>“</w:t>
      </w:r>
      <w:r w:rsidRPr="00F55A22">
        <w:rPr>
          <w:rFonts w:ascii="Times New Roman" w:hAnsi="Times New Roman"/>
          <w:sz w:val="24"/>
        </w:rPr>
        <w:t>公司</w:t>
      </w:r>
      <w:r w:rsidRPr="00F55A22">
        <w:rPr>
          <w:rFonts w:ascii="Times New Roman" w:hAnsi="Times New Roman"/>
          <w:sz w:val="24"/>
        </w:rPr>
        <w:t>”</w:t>
      </w:r>
      <w:r w:rsidRPr="00F55A22">
        <w:rPr>
          <w:rFonts w:ascii="Times New Roman" w:hAnsi="Times New Roman"/>
          <w:sz w:val="24"/>
        </w:rPr>
        <w:t>）截至</w:t>
      </w:r>
      <w:r w:rsidRPr="00F55A22">
        <w:rPr>
          <w:rFonts w:ascii="Times New Roman" w:hAnsi="Times New Roman"/>
          <w:sz w:val="24"/>
        </w:rPr>
        <w:t>20</w:t>
      </w:r>
      <w:r w:rsidR="0077186B" w:rsidRPr="00F55A22">
        <w:rPr>
          <w:rFonts w:ascii="Times New Roman" w:hAnsi="Times New Roman"/>
          <w:sz w:val="24"/>
        </w:rPr>
        <w:t>2</w:t>
      </w:r>
      <w:r w:rsidR="001671C5" w:rsidRPr="00F55A22">
        <w:rPr>
          <w:rFonts w:ascii="Times New Roman" w:hAnsi="Times New Roman"/>
          <w:sz w:val="24"/>
        </w:rPr>
        <w:t>3</w:t>
      </w:r>
      <w:r w:rsidRPr="00F55A22">
        <w:rPr>
          <w:rFonts w:ascii="Times New Roman" w:hAnsi="Times New Roman"/>
          <w:sz w:val="24"/>
        </w:rPr>
        <w:t>年</w:t>
      </w:r>
      <w:r w:rsidRPr="00F55A22">
        <w:rPr>
          <w:rFonts w:ascii="Times New Roman" w:hAnsi="Times New Roman"/>
          <w:sz w:val="24"/>
        </w:rPr>
        <w:t>12</w:t>
      </w:r>
      <w:r w:rsidRPr="00F55A22">
        <w:rPr>
          <w:rFonts w:ascii="Times New Roman" w:hAnsi="Times New Roman"/>
          <w:sz w:val="24"/>
        </w:rPr>
        <w:t>月</w:t>
      </w:r>
      <w:r w:rsidRPr="00F55A22">
        <w:rPr>
          <w:rFonts w:ascii="Times New Roman" w:hAnsi="Times New Roman"/>
          <w:sz w:val="24"/>
        </w:rPr>
        <w:t>31</w:t>
      </w:r>
      <w:r w:rsidRPr="00F55A22">
        <w:rPr>
          <w:rFonts w:ascii="Times New Roman" w:hAnsi="Times New Roman"/>
          <w:sz w:val="24"/>
        </w:rPr>
        <w:t>日的财务状况、资产价值及经营情况，基于谨慎性原则，根据《会计法》、《企业会计准则》和《深圳证券交易所股票上市规则》等相关规定，对截至</w:t>
      </w:r>
      <w:r w:rsidRPr="00F55A22">
        <w:rPr>
          <w:rFonts w:ascii="Times New Roman" w:hAnsi="Times New Roman"/>
          <w:sz w:val="24"/>
        </w:rPr>
        <w:t>20</w:t>
      </w:r>
      <w:r w:rsidR="0077186B" w:rsidRPr="00F55A22">
        <w:rPr>
          <w:rFonts w:ascii="Times New Roman" w:hAnsi="Times New Roman"/>
          <w:sz w:val="24"/>
        </w:rPr>
        <w:t>2</w:t>
      </w:r>
      <w:r w:rsidR="001671C5" w:rsidRPr="00F55A22">
        <w:rPr>
          <w:rFonts w:ascii="Times New Roman" w:hAnsi="Times New Roman"/>
          <w:sz w:val="24"/>
        </w:rPr>
        <w:t>3</w:t>
      </w:r>
      <w:r w:rsidRPr="00F55A22">
        <w:rPr>
          <w:rFonts w:ascii="Times New Roman" w:hAnsi="Times New Roman"/>
          <w:sz w:val="24"/>
        </w:rPr>
        <w:t>年</w:t>
      </w:r>
      <w:r w:rsidRPr="00F55A22">
        <w:rPr>
          <w:rFonts w:ascii="Times New Roman" w:hAnsi="Times New Roman"/>
          <w:sz w:val="24"/>
        </w:rPr>
        <w:t>12</w:t>
      </w:r>
      <w:r w:rsidRPr="00F55A22">
        <w:rPr>
          <w:rFonts w:ascii="Times New Roman" w:hAnsi="Times New Roman"/>
          <w:sz w:val="24"/>
        </w:rPr>
        <w:t>月</w:t>
      </w:r>
      <w:r w:rsidRPr="00F55A22">
        <w:rPr>
          <w:rFonts w:ascii="Times New Roman" w:hAnsi="Times New Roman"/>
          <w:sz w:val="24"/>
        </w:rPr>
        <w:t>31</w:t>
      </w:r>
      <w:r w:rsidRPr="00F55A22">
        <w:rPr>
          <w:rFonts w:ascii="Times New Roman" w:hAnsi="Times New Roman"/>
          <w:sz w:val="24"/>
        </w:rPr>
        <w:t>日存在减值迹象的相关资产进行测试判断，遵循谨慎性原则计提资产减值准备。</w:t>
      </w:r>
    </w:p>
    <w:p w:rsidR="004F1BA6" w:rsidRPr="00F55A22" w:rsidRDefault="004F1BA6" w:rsidP="001671C5">
      <w:pPr>
        <w:adjustRightInd w:val="0"/>
        <w:spacing w:line="360" w:lineRule="auto"/>
        <w:ind w:firstLineChars="200" w:firstLine="482"/>
        <w:rPr>
          <w:rFonts w:ascii="Times New Roman" w:hAnsi="Times New Roman"/>
          <w:b/>
          <w:sz w:val="24"/>
        </w:rPr>
      </w:pPr>
      <w:r w:rsidRPr="00F55A22">
        <w:rPr>
          <w:rFonts w:ascii="Times New Roman" w:hAnsi="Times New Roman"/>
          <w:b/>
          <w:sz w:val="24"/>
        </w:rPr>
        <w:t>一、资产减值准备计提情况</w:t>
      </w:r>
    </w:p>
    <w:p w:rsidR="004F1BA6" w:rsidRPr="00F55A22" w:rsidRDefault="004F1BA6" w:rsidP="001671C5">
      <w:pPr>
        <w:adjustRightInd w:val="0"/>
        <w:spacing w:line="360" w:lineRule="auto"/>
        <w:ind w:firstLineChars="200" w:firstLine="480"/>
        <w:rPr>
          <w:rFonts w:ascii="Times New Roman" w:hAnsi="Times New Roman"/>
          <w:sz w:val="24"/>
        </w:rPr>
      </w:pPr>
      <w:r w:rsidRPr="00F55A22">
        <w:rPr>
          <w:rFonts w:ascii="Times New Roman" w:hAnsi="Times New Roman"/>
          <w:sz w:val="24"/>
        </w:rPr>
        <w:t>经过公司对</w:t>
      </w:r>
      <w:r w:rsidRPr="00F55A22">
        <w:rPr>
          <w:rFonts w:ascii="Times New Roman" w:hAnsi="Times New Roman"/>
          <w:sz w:val="24"/>
        </w:rPr>
        <w:t>20</w:t>
      </w:r>
      <w:r w:rsidR="0077186B" w:rsidRPr="00F55A22">
        <w:rPr>
          <w:rFonts w:ascii="Times New Roman" w:hAnsi="Times New Roman"/>
          <w:sz w:val="24"/>
        </w:rPr>
        <w:t>2</w:t>
      </w:r>
      <w:r w:rsidR="001671C5" w:rsidRPr="00F55A22">
        <w:rPr>
          <w:rFonts w:ascii="Times New Roman" w:hAnsi="Times New Roman"/>
          <w:sz w:val="24"/>
        </w:rPr>
        <w:t>3</w:t>
      </w:r>
      <w:r w:rsidRPr="00F55A22">
        <w:rPr>
          <w:rFonts w:ascii="Times New Roman" w:hAnsi="Times New Roman"/>
          <w:sz w:val="24"/>
        </w:rPr>
        <w:t>年末存在可能发生减值迹象的资产进行全面清查和资产减值测试后，对应收账款、其他应收账款</w:t>
      </w:r>
      <w:r w:rsidR="001671C5" w:rsidRPr="00F55A22">
        <w:rPr>
          <w:rFonts w:ascii="Times New Roman" w:hAnsi="Times New Roman"/>
          <w:sz w:val="24"/>
        </w:rPr>
        <w:t>、合同资产</w:t>
      </w:r>
      <w:r w:rsidRPr="00F55A22">
        <w:rPr>
          <w:rFonts w:ascii="Times New Roman" w:hAnsi="Times New Roman"/>
          <w:sz w:val="24"/>
        </w:rPr>
        <w:t>计提各项资产减值准备。其中：应收账款坏账准备</w:t>
      </w:r>
      <w:r w:rsidR="001671C5" w:rsidRPr="00F55A22">
        <w:rPr>
          <w:rFonts w:ascii="Times New Roman" w:hAnsi="Times New Roman"/>
          <w:sz w:val="24"/>
        </w:rPr>
        <w:t>29,986,635.5</w:t>
      </w:r>
      <w:r w:rsidR="008175A0" w:rsidRPr="00F55A22">
        <w:rPr>
          <w:rFonts w:ascii="Times New Roman" w:hAnsi="Times New Roman"/>
          <w:sz w:val="24"/>
        </w:rPr>
        <w:t>元</w:t>
      </w:r>
      <w:r w:rsidRPr="00F55A22">
        <w:rPr>
          <w:rFonts w:ascii="Times New Roman" w:hAnsi="Times New Roman"/>
          <w:sz w:val="24"/>
        </w:rPr>
        <w:t>，其他应收账款坏账准备</w:t>
      </w:r>
      <w:r w:rsidR="001671C5" w:rsidRPr="00F55A22">
        <w:rPr>
          <w:rFonts w:ascii="Times New Roman" w:hAnsi="Times New Roman"/>
          <w:sz w:val="24"/>
        </w:rPr>
        <w:t>2,077,742.73</w:t>
      </w:r>
      <w:r w:rsidRPr="00F55A22">
        <w:rPr>
          <w:rFonts w:ascii="Times New Roman" w:hAnsi="Times New Roman"/>
          <w:sz w:val="24"/>
        </w:rPr>
        <w:t>元</w:t>
      </w:r>
      <w:r w:rsidR="001671C5" w:rsidRPr="00F55A22">
        <w:rPr>
          <w:rFonts w:ascii="Times New Roman" w:hAnsi="Times New Roman"/>
          <w:sz w:val="24"/>
        </w:rPr>
        <w:t>，合同资产减值准备</w:t>
      </w:r>
      <w:r w:rsidR="001671C5" w:rsidRPr="00F55A22">
        <w:rPr>
          <w:rFonts w:ascii="Times New Roman" w:hAnsi="Times New Roman"/>
          <w:sz w:val="24"/>
        </w:rPr>
        <w:t>3,680,836.35</w:t>
      </w:r>
      <w:r w:rsidR="001671C5" w:rsidRPr="00F55A22">
        <w:rPr>
          <w:rFonts w:ascii="Times New Roman" w:hAnsi="Times New Roman"/>
          <w:sz w:val="24"/>
        </w:rPr>
        <w:t>元</w:t>
      </w:r>
      <w:r w:rsidRPr="00F55A22">
        <w:rPr>
          <w:rFonts w:ascii="Times New Roman" w:hAnsi="Times New Roman"/>
          <w:sz w:val="24"/>
        </w:rPr>
        <w:t>。</w:t>
      </w:r>
    </w:p>
    <w:p w:rsidR="004F1BA6" w:rsidRPr="00F55A22" w:rsidRDefault="004F1BA6" w:rsidP="001671C5">
      <w:pPr>
        <w:adjustRightInd w:val="0"/>
        <w:spacing w:line="360" w:lineRule="auto"/>
        <w:ind w:firstLineChars="200" w:firstLine="482"/>
        <w:rPr>
          <w:rFonts w:ascii="Times New Roman" w:hAnsi="Times New Roman"/>
          <w:b/>
          <w:sz w:val="24"/>
        </w:rPr>
      </w:pPr>
      <w:r w:rsidRPr="00F55A22">
        <w:rPr>
          <w:rFonts w:ascii="Times New Roman" w:hAnsi="Times New Roman"/>
          <w:b/>
          <w:sz w:val="24"/>
        </w:rPr>
        <w:t>二、资产减值准备对公司影响</w:t>
      </w:r>
    </w:p>
    <w:p w:rsidR="004F1BA6" w:rsidRPr="00F55A22" w:rsidRDefault="004F1BA6" w:rsidP="001671C5">
      <w:pPr>
        <w:adjustRightInd w:val="0"/>
        <w:spacing w:line="360" w:lineRule="auto"/>
        <w:ind w:firstLineChars="200" w:firstLine="480"/>
        <w:rPr>
          <w:rFonts w:ascii="Times New Roman" w:hAnsi="Times New Roman"/>
          <w:sz w:val="24"/>
        </w:rPr>
      </w:pPr>
      <w:r w:rsidRPr="00F55A22">
        <w:rPr>
          <w:rFonts w:ascii="Times New Roman" w:hAnsi="Times New Roman"/>
          <w:sz w:val="24"/>
        </w:rPr>
        <w:t>本次计提资产减值准备计入的报告期间为</w:t>
      </w:r>
      <w:r w:rsidRPr="00F55A22">
        <w:rPr>
          <w:rFonts w:ascii="Times New Roman" w:hAnsi="Times New Roman"/>
          <w:sz w:val="24"/>
        </w:rPr>
        <w:t>20</w:t>
      </w:r>
      <w:r w:rsidR="0077186B" w:rsidRPr="00F55A22">
        <w:rPr>
          <w:rFonts w:ascii="Times New Roman" w:hAnsi="Times New Roman"/>
          <w:sz w:val="24"/>
        </w:rPr>
        <w:t>2</w:t>
      </w:r>
      <w:r w:rsidR="001671C5" w:rsidRPr="00F55A22">
        <w:rPr>
          <w:rFonts w:ascii="Times New Roman" w:hAnsi="Times New Roman"/>
          <w:sz w:val="24"/>
        </w:rPr>
        <w:t>3</w:t>
      </w:r>
      <w:r w:rsidRPr="00F55A22">
        <w:rPr>
          <w:rFonts w:ascii="Times New Roman" w:hAnsi="Times New Roman"/>
          <w:sz w:val="24"/>
        </w:rPr>
        <w:t>年</w:t>
      </w:r>
      <w:r w:rsidRPr="00F55A22">
        <w:rPr>
          <w:rFonts w:ascii="Times New Roman" w:hAnsi="Times New Roman"/>
          <w:sz w:val="24"/>
        </w:rPr>
        <w:t>1</w:t>
      </w:r>
      <w:r w:rsidRPr="00F55A22">
        <w:rPr>
          <w:rFonts w:ascii="Times New Roman" w:hAnsi="Times New Roman"/>
          <w:sz w:val="24"/>
        </w:rPr>
        <w:t>月</w:t>
      </w:r>
      <w:r w:rsidRPr="00F55A22">
        <w:rPr>
          <w:rFonts w:ascii="Times New Roman" w:hAnsi="Times New Roman"/>
          <w:sz w:val="24"/>
        </w:rPr>
        <w:t>1</w:t>
      </w:r>
      <w:r w:rsidRPr="00F55A22">
        <w:rPr>
          <w:rFonts w:ascii="Times New Roman" w:hAnsi="Times New Roman"/>
          <w:sz w:val="24"/>
        </w:rPr>
        <w:t>日至</w:t>
      </w:r>
      <w:r w:rsidRPr="00F55A22">
        <w:rPr>
          <w:rFonts w:ascii="Times New Roman" w:hAnsi="Times New Roman"/>
          <w:sz w:val="24"/>
        </w:rPr>
        <w:t>20</w:t>
      </w:r>
      <w:r w:rsidR="0077186B" w:rsidRPr="00F55A22">
        <w:rPr>
          <w:rFonts w:ascii="Times New Roman" w:hAnsi="Times New Roman"/>
          <w:sz w:val="24"/>
        </w:rPr>
        <w:t>2</w:t>
      </w:r>
      <w:r w:rsidR="001671C5" w:rsidRPr="00F55A22">
        <w:rPr>
          <w:rFonts w:ascii="Times New Roman" w:hAnsi="Times New Roman"/>
          <w:sz w:val="24"/>
        </w:rPr>
        <w:t>3</w:t>
      </w:r>
      <w:r w:rsidRPr="00F55A22">
        <w:rPr>
          <w:rFonts w:ascii="Times New Roman" w:hAnsi="Times New Roman"/>
          <w:sz w:val="24"/>
        </w:rPr>
        <w:t>年</w:t>
      </w:r>
      <w:r w:rsidRPr="00F55A22">
        <w:rPr>
          <w:rFonts w:ascii="Times New Roman" w:hAnsi="Times New Roman"/>
          <w:sz w:val="24"/>
        </w:rPr>
        <w:t>12</w:t>
      </w:r>
      <w:r w:rsidRPr="00F55A22">
        <w:rPr>
          <w:rFonts w:ascii="Times New Roman" w:hAnsi="Times New Roman"/>
          <w:sz w:val="24"/>
        </w:rPr>
        <w:t>月</w:t>
      </w:r>
      <w:r w:rsidRPr="00F55A22">
        <w:rPr>
          <w:rFonts w:ascii="Times New Roman" w:hAnsi="Times New Roman"/>
          <w:sz w:val="24"/>
        </w:rPr>
        <w:t>31</w:t>
      </w:r>
      <w:r w:rsidRPr="00F55A22">
        <w:rPr>
          <w:rFonts w:ascii="Times New Roman" w:hAnsi="Times New Roman"/>
          <w:sz w:val="24"/>
        </w:rPr>
        <w:t>日。本次计提资产减值准备减少公司</w:t>
      </w:r>
      <w:r w:rsidRPr="00F55A22">
        <w:rPr>
          <w:rFonts w:ascii="Times New Roman" w:hAnsi="Times New Roman"/>
          <w:sz w:val="24"/>
        </w:rPr>
        <w:t>20</w:t>
      </w:r>
      <w:r w:rsidR="0077186B" w:rsidRPr="00F55A22">
        <w:rPr>
          <w:rFonts w:ascii="Times New Roman" w:hAnsi="Times New Roman"/>
          <w:sz w:val="24"/>
        </w:rPr>
        <w:t>2</w:t>
      </w:r>
      <w:r w:rsidR="001671C5" w:rsidRPr="00F55A22">
        <w:rPr>
          <w:rFonts w:ascii="Times New Roman" w:hAnsi="Times New Roman"/>
          <w:sz w:val="24"/>
        </w:rPr>
        <w:t>3</w:t>
      </w:r>
      <w:r w:rsidRPr="00F55A22">
        <w:rPr>
          <w:rFonts w:ascii="Times New Roman" w:hAnsi="Times New Roman"/>
          <w:sz w:val="24"/>
        </w:rPr>
        <w:t>年度合并报表利润总额</w:t>
      </w:r>
      <w:r w:rsidR="001671C5" w:rsidRPr="00F55A22">
        <w:rPr>
          <w:rFonts w:ascii="Times New Roman" w:hAnsi="Times New Roman"/>
          <w:sz w:val="24"/>
        </w:rPr>
        <w:t>35,745,214.58</w:t>
      </w:r>
      <w:r w:rsidRPr="00F55A22">
        <w:rPr>
          <w:rFonts w:ascii="Times New Roman" w:hAnsi="Times New Roman"/>
          <w:sz w:val="24"/>
        </w:rPr>
        <w:t>元。</w:t>
      </w:r>
    </w:p>
    <w:p w:rsidR="004F1BA6" w:rsidRPr="00F55A22" w:rsidRDefault="004F1BA6" w:rsidP="001671C5">
      <w:pPr>
        <w:adjustRightInd w:val="0"/>
        <w:spacing w:line="360" w:lineRule="auto"/>
        <w:ind w:firstLineChars="200" w:firstLine="482"/>
        <w:rPr>
          <w:rFonts w:ascii="Times New Roman" w:hAnsi="Times New Roman"/>
          <w:b/>
          <w:sz w:val="24"/>
        </w:rPr>
      </w:pPr>
      <w:r w:rsidRPr="00F55A22">
        <w:rPr>
          <w:rFonts w:ascii="Times New Roman" w:hAnsi="Times New Roman"/>
          <w:b/>
          <w:sz w:val="24"/>
        </w:rPr>
        <w:t>三、计提资产减值准备的依据</w:t>
      </w:r>
    </w:p>
    <w:p w:rsidR="004F1BA6" w:rsidRPr="00F55A22" w:rsidRDefault="004F1BA6" w:rsidP="001671C5">
      <w:pPr>
        <w:adjustRightInd w:val="0"/>
        <w:spacing w:line="360" w:lineRule="auto"/>
        <w:ind w:firstLineChars="200" w:firstLine="480"/>
        <w:rPr>
          <w:rFonts w:ascii="Times New Roman" w:hAnsi="Times New Roman"/>
          <w:bCs/>
          <w:sz w:val="24"/>
        </w:rPr>
      </w:pPr>
      <w:r w:rsidRPr="00F55A22">
        <w:rPr>
          <w:rFonts w:ascii="Times New Roman" w:hAnsi="Times New Roman"/>
          <w:bCs/>
          <w:sz w:val="24"/>
        </w:rPr>
        <w:t>（一）应收账款</w:t>
      </w:r>
    </w:p>
    <w:p w:rsidR="0096712F" w:rsidRPr="00F55A22" w:rsidRDefault="0096712F" w:rsidP="0096712F">
      <w:pPr>
        <w:widowControl/>
        <w:spacing w:line="360" w:lineRule="auto"/>
        <w:ind w:firstLine="425"/>
        <w:rPr>
          <w:rFonts w:ascii="Times New Roman" w:hAnsi="Times New Roman"/>
          <w:sz w:val="24"/>
          <w:lang w:val="zh-CN"/>
        </w:rPr>
      </w:pPr>
      <w:r w:rsidRPr="00F55A22">
        <w:rPr>
          <w:rFonts w:ascii="Times New Roman" w:hAnsi="Times New Roman"/>
          <w:sz w:val="24"/>
          <w:lang w:val="zh-CN"/>
        </w:rPr>
        <w:t>（</w:t>
      </w:r>
      <w:r w:rsidRPr="00F55A22">
        <w:rPr>
          <w:rFonts w:ascii="Times New Roman" w:hAnsi="Times New Roman"/>
          <w:sz w:val="24"/>
          <w:lang w:val="zh-CN"/>
        </w:rPr>
        <w:t>1</w:t>
      </w:r>
      <w:r w:rsidRPr="00F55A22">
        <w:rPr>
          <w:rFonts w:ascii="Times New Roman" w:hAnsi="Times New Roman"/>
          <w:sz w:val="24"/>
          <w:lang w:val="zh-CN"/>
        </w:rPr>
        <w:t>）不包含重大融资成分的应收款项。对于由《企业会计准则第</w:t>
      </w:r>
      <w:r w:rsidRPr="00F55A22">
        <w:rPr>
          <w:rFonts w:ascii="Times New Roman" w:hAnsi="Times New Roman"/>
          <w:sz w:val="24"/>
          <w:lang w:val="zh-CN"/>
        </w:rPr>
        <w:t>14</w:t>
      </w:r>
      <w:r w:rsidRPr="00F55A22">
        <w:rPr>
          <w:rFonts w:ascii="Times New Roman" w:hAnsi="Times New Roman"/>
          <w:sz w:val="24"/>
          <w:lang w:val="zh-CN"/>
        </w:rPr>
        <w:t>号</w:t>
      </w:r>
      <w:r w:rsidRPr="00F55A22">
        <w:rPr>
          <w:rFonts w:ascii="Times New Roman" w:hAnsi="Times New Roman"/>
          <w:sz w:val="24"/>
          <w:lang w:val="zh-CN"/>
        </w:rPr>
        <w:t>——</w:t>
      </w:r>
      <w:r w:rsidRPr="00F55A22">
        <w:rPr>
          <w:rFonts w:ascii="Times New Roman" w:hAnsi="Times New Roman"/>
          <w:sz w:val="24"/>
          <w:lang w:val="zh-CN"/>
        </w:rPr>
        <w:t>收入》规范的交易形成的不含重大融资成分的应收款项，本公司采用简化方法，即始终按整个存续期预期信用损失计量损失准备。</w:t>
      </w:r>
    </w:p>
    <w:p w:rsidR="0096712F" w:rsidRPr="00F55A22" w:rsidRDefault="0096712F" w:rsidP="0096712F">
      <w:pPr>
        <w:widowControl/>
        <w:spacing w:line="360" w:lineRule="auto"/>
        <w:ind w:firstLine="425"/>
        <w:rPr>
          <w:rFonts w:ascii="Times New Roman" w:hAnsi="Times New Roman"/>
          <w:sz w:val="24"/>
          <w:lang w:val="zh-CN"/>
        </w:rPr>
      </w:pPr>
      <w:r w:rsidRPr="00F55A22">
        <w:rPr>
          <w:rFonts w:ascii="宋体" w:hAnsi="宋体" w:cs="宋体" w:hint="eastAsia"/>
          <w:sz w:val="24"/>
          <w:lang w:val="zh-CN"/>
        </w:rPr>
        <w:t>①</w:t>
      </w:r>
      <w:r w:rsidRPr="00F55A22">
        <w:rPr>
          <w:rFonts w:ascii="Times New Roman" w:hAnsi="Times New Roman"/>
          <w:sz w:val="24"/>
          <w:lang w:val="zh-CN"/>
        </w:rPr>
        <w:t>按照信用风险特征组合计提坏账准备的组合类别及确定依据</w:t>
      </w:r>
    </w:p>
    <w:p w:rsidR="0096712F" w:rsidRPr="00F55A22" w:rsidRDefault="0096712F" w:rsidP="0096712F">
      <w:pPr>
        <w:widowControl/>
        <w:spacing w:line="360" w:lineRule="auto"/>
        <w:ind w:firstLine="425"/>
        <w:rPr>
          <w:rFonts w:ascii="Times New Roman" w:hAnsi="Times New Roman"/>
          <w:sz w:val="24"/>
          <w:lang w:val="zh-CN"/>
        </w:rPr>
      </w:pPr>
      <w:r w:rsidRPr="00F55A22">
        <w:rPr>
          <w:rFonts w:ascii="Times New Roman" w:hAnsi="Times New Roman"/>
          <w:sz w:val="24"/>
          <w:lang w:val="zh-CN"/>
        </w:rPr>
        <w:lastRenderedPageBreak/>
        <w:t>本公司对除单项认定的应收款项，根据信用风险特征将应收账款划分为若干组合，在组合基础上计算预期信用损失，确定组合的依据如下：</w:t>
      </w:r>
    </w:p>
    <w:p w:rsidR="0096712F" w:rsidRPr="00F55A22" w:rsidRDefault="0096712F" w:rsidP="0096712F">
      <w:pPr>
        <w:widowControl/>
        <w:spacing w:line="360" w:lineRule="auto"/>
        <w:ind w:firstLineChars="200" w:firstLine="480"/>
        <w:rPr>
          <w:rFonts w:ascii="Times New Roman" w:hAnsi="Times New Roman"/>
          <w:sz w:val="24"/>
          <w:lang w:val="zh-CN"/>
        </w:rPr>
      </w:pPr>
      <w:r w:rsidRPr="00F55A22">
        <w:rPr>
          <w:rFonts w:ascii="Times New Roman" w:hAnsi="Times New Roman"/>
          <w:sz w:val="24"/>
          <w:lang w:val="zh-CN"/>
        </w:rPr>
        <w:t>应收账款按照信用风险特征组合：</w:t>
      </w:r>
    </w:p>
    <w:tbl>
      <w:tblPr>
        <w:tblW w:w="8416"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4168"/>
      </w:tblGrid>
      <w:tr w:rsidR="0096712F" w:rsidRPr="00F55A22" w:rsidTr="00C171B4">
        <w:trPr>
          <w:trHeight w:val="340"/>
          <w:jc w:val="right"/>
        </w:trPr>
        <w:tc>
          <w:tcPr>
            <w:tcW w:w="4248" w:type="dxa"/>
            <w:tcMar>
              <w:top w:w="0" w:type="dxa"/>
              <w:left w:w="108" w:type="dxa"/>
              <w:bottom w:w="0" w:type="dxa"/>
              <w:right w:w="108" w:type="dxa"/>
            </w:tcMar>
            <w:vAlign w:val="center"/>
            <w:hideMark/>
          </w:tcPr>
          <w:p w:rsidR="0096712F" w:rsidRPr="009D68E7" w:rsidRDefault="0096712F" w:rsidP="0096712F">
            <w:pPr>
              <w:widowControl/>
              <w:spacing w:line="240" w:lineRule="atLeast"/>
              <w:jc w:val="center"/>
              <w:rPr>
                <w:rFonts w:ascii="Times New Roman" w:hAnsi="Times New Roman"/>
                <w:b/>
                <w:kern w:val="0"/>
                <w:sz w:val="20"/>
                <w:szCs w:val="20"/>
              </w:rPr>
            </w:pPr>
            <w:r w:rsidRPr="009D68E7">
              <w:rPr>
                <w:rFonts w:ascii="Times New Roman" w:hAnsi="Times New Roman"/>
                <w:b/>
                <w:kern w:val="0"/>
                <w:szCs w:val="21"/>
              </w:rPr>
              <w:t>组合类别</w:t>
            </w:r>
          </w:p>
        </w:tc>
        <w:tc>
          <w:tcPr>
            <w:tcW w:w="4168" w:type="dxa"/>
            <w:tcMar>
              <w:top w:w="0" w:type="dxa"/>
              <w:left w:w="108" w:type="dxa"/>
              <w:bottom w:w="0" w:type="dxa"/>
              <w:right w:w="108" w:type="dxa"/>
            </w:tcMar>
            <w:vAlign w:val="center"/>
            <w:hideMark/>
          </w:tcPr>
          <w:p w:rsidR="0096712F" w:rsidRPr="009D68E7" w:rsidRDefault="0096712F" w:rsidP="0096712F">
            <w:pPr>
              <w:widowControl/>
              <w:spacing w:line="240" w:lineRule="atLeast"/>
              <w:jc w:val="center"/>
              <w:rPr>
                <w:rFonts w:ascii="Times New Roman" w:hAnsi="Times New Roman"/>
                <w:b/>
                <w:kern w:val="0"/>
                <w:sz w:val="20"/>
                <w:szCs w:val="20"/>
              </w:rPr>
            </w:pPr>
            <w:r w:rsidRPr="009D68E7">
              <w:rPr>
                <w:rFonts w:ascii="Times New Roman" w:hAnsi="Times New Roman"/>
                <w:b/>
                <w:kern w:val="0"/>
                <w:szCs w:val="21"/>
              </w:rPr>
              <w:t>确定依据</w:t>
            </w:r>
          </w:p>
        </w:tc>
      </w:tr>
      <w:tr w:rsidR="0096712F" w:rsidRPr="00F55A22" w:rsidTr="00C171B4">
        <w:trPr>
          <w:trHeight w:val="340"/>
          <w:jc w:val="right"/>
        </w:trPr>
        <w:tc>
          <w:tcPr>
            <w:tcW w:w="340" w:type="dxa"/>
            <w:tcMar>
              <w:top w:w="0" w:type="dxa"/>
              <w:left w:w="108" w:type="dxa"/>
              <w:bottom w:w="0" w:type="dxa"/>
              <w:right w:w="108" w:type="dxa"/>
            </w:tcMar>
            <w:vAlign w:val="center"/>
            <w:hideMark/>
          </w:tcPr>
          <w:p w:rsidR="0096712F" w:rsidRPr="00F55A22" w:rsidRDefault="0096712F" w:rsidP="0096712F">
            <w:pPr>
              <w:widowControl/>
              <w:spacing w:line="240" w:lineRule="atLeast"/>
              <w:jc w:val="left"/>
              <w:rPr>
                <w:rFonts w:ascii="Times New Roman" w:hAnsi="Times New Roman"/>
                <w:kern w:val="0"/>
                <w:sz w:val="20"/>
                <w:szCs w:val="20"/>
              </w:rPr>
            </w:pPr>
            <w:r w:rsidRPr="00F55A22">
              <w:rPr>
                <w:rFonts w:ascii="Times New Roman" w:hAnsi="Times New Roman"/>
                <w:kern w:val="0"/>
                <w:szCs w:val="21"/>
              </w:rPr>
              <w:t>组合</w:t>
            </w:r>
            <w:r w:rsidRPr="00F55A22">
              <w:rPr>
                <w:rFonts w:ascii="Times New Roman" w:hAnsi="Times New Roman"/>
                <w:kern w:val="0"/>
                <w:szCs w:val="21"/>
              </w:rPr>
              <w:t>1</w:t>
            </w:r>
            <w:r w:rsidRPr="00F55A22">
              <w:rPr>
                <w:rFonts w:ascii="Times New Roman" w:hAnsi="Times New Roman"/>
                <w:kern w:val="0"/>
                <w:szCs w:val="21"/>
              </w:rPr>
              <w:t>：账龄组合</w:t>
            </w:r>
          </w:p>
        </w:tc>
        <w:tc>
          <w:tcPr>
            <w:tcW w:w="340" w:type="dxa"/>
            <w:tcMar>
              <w:top w:w="0" w:type="dxa"/>
              <w:left w:w="108" w:type="dxa"/>
              <w:bottom w:w="0" w:type="dxa"/>
              <w:right w:w="108" w:type="dxa"/>
            </w:tcMar>
            <w:vAlign w:val="center"/>
            <w:hideMark/>
          </w:tcPr>
          <w:p w:rsidR="0096712F" w:rsidRPr="00F55A22" w:rsidRDefault="0096712F" w:rsidP="0096712F">
            <w:pPr>
              <w:widowControl/>
              <w:spacing w:line="240" w:lineRule="atLeast"/>
              <w:jc w:val="left"/>
              <w:rPr>
                <w:rFonts w:ascii="Times New Roman" w:hAnsi="Times New Roman"/>
                <w:kern w:val="0"/>
                <w:sz w:val="20"/>
                <w:szCs w:val="20"/>
              </w:rPr>
            </w:pPr>
            <w:r w:rsidRPr="00F55A22">
              <w:rPr>
                <w:rFonts w:ascii="Times New Roman" w:hAnsi="Times New Roman"/>
                <w:kern w:val="0"/>
                <w:szCs w:val="21"/>
              </w:rPr>
              <w:t>账龄</w:t>
            </w:r>
          </w:p>
        </w:tc>
      </w:tr>
      <w:tr w:rsidR="0096712F" w:rsidRPr="00F55A22" w:rsidTr="00C171B4">
        <w:trPr>
          <w:trHeight w:val="340"/>
          <w:jc w:val="right"/>
        </w:trPr>
        <w:tc>
          <w:tcPr>
            <w:tcW w:w="340" w:type="dxa"/>
            <w:tcMar>
              <w:top w:w="0" w:type="dxa"/>
              <w:left w:w="108" w:type="dxa"/>
              <w:bottom w:w="0" w:type="dxa"/>
              <w:right w:w="108" w:type="dxa"/>
            </w:tcMar>
            <w:vAlign w:val="center"/>
            <w:hideMark/>
          </w:tcPr>
          <w:p w:rsidR="0096712F" w:rsidRPr="00F55A22" w:rsidRDefault="0096712F" w:rsidP="0096712F">
            <w:pPr>
              <w:widowControl/>
              <w:spacing w:line="240" w:lineRule="atLeast"/>
              <w:jc w:val="left"/>
              <w:rPr>
                <w:rFonts w:ascii="Times New Roman" w:hAnsi="Times New Roman"/>
                <w:kern w:val="0"/>
                <w:sz w:val="20"/>
                <w:szCs w:val="20"/>
              </w:rPr>
            </w:pPr>
            <w:r w:rsidRPr="00F55A22">
              <w:rPr>
                <w:rFonts w:ascii="Times New Roman" w:hAnsi="Times New Roman"/>
                <w:kern w:val="0"/>
                <w:szCs w:val="21"/>
              </w:rPr>
              <w:t>组合</w:t>
            </w:r>
            <w:r w:rsidRPr="00F55A22">
              <w:rPr>
                <w:rFonts w:ascii="Times New Roman" w:hAnsi="Times New Roman"/>
                <w:kern w:val="0"/>
                <w:szCs w:val="21"/>
              </w:rPr>
              <w:t>2</w:t>
            </w:r>
            <w:r w:rsidRPr="00F55A22">
              <w:rPr>
                <w:rFonts w:ascii="Times New Roman" w:hAnsi="Times New Roman"/>
                <w:kern w:val="0"/>
                <w:szCs w:val="21"/>
              </w:rPr>
              <w:t>：无风险组合</w:t>
            </w:r>
          </w:p>
        </w:tc>
        <w:tc>
          <w:tcPr>
            <w:tcW w:w="340" w:type="dxa"/>
            <w:tcMar>
              <w:top w:w="0" w:type="dxa"/>
              <w:left w:w="108" w:type="dxa"/>
              <w:bottom w:w="0" w:type="dxa"/>
              <w:right w:w="108" w:type="dxa"/>
            </w:tcMar>
            <w:vAlign w:val="center"/>
            <w:hideMark/>
          </w:tcPr>
          <w:p w:rsidR="0096712F" w:rsidRPr="00F55A22" w:rsidRDefault="0096712F" w:rsidP="0096712F">
            <w:pPr>
              <w:widowControl/>
              <w:spacing w:line="240" w:lineRule="atLeast"/>
              <w:jc w:val="left"/>
              <w:rPr>
                <w:rFonts w:ascii="Times New Roman" w:hAnsi="Times New Roman"/>
                <w:kern w:val="0"/>
                <w:sz w:val="20"/>
                <w:szCs w:val="20"/>
              </w:rPr>
            </w:pPr>
            <w:r w:rsidRPr="00F55A22">
              <w:rPr>
                <w:rFonts w:ascii="Times New Roman" w:hAnsi="Times New Roman"/>
                <w:kern w:val="0"/>
                <w:szCs w:val="21"/>
              </w:rPr>
              <w:t>合并范围内的关联方</w:t>
            </w:r>
          </w:p>
        </w:tc>
      </w:tr>
    </w:tbl>
    <w:p w:rsidR="0096712F" w:rsidRPr="00F55A22" w:rsidRDefault="0096712F" w:rsidP="0096712F">
      <w:pPr>
        <w:widowControl/>
        <w:spacing w:line="360" w:lineRule="auto"/>
        <w:ind w:firstLineChars="200" w:firstLine="480"/>
        <w:rPr>
          <w:rFonts w:ascii="Times New Roman" w:hAnsi="Times New Roman"/>
          <w:sz w:val="24"/>
          <w:lang w:val="zh-CN"/>
        </w:rPr>
      </w:pPr>
      <w:r w:rsidRPr="00F55A22">
        <w:rPr>
          <w:rFonts w:ascii="Times New Roman" w:hAnsi="Times New Roman"/>
          <w:sz w:val="24"/>
          <w:lang w:val="zh-CN"/>
        </w:rPr>
        <w:t>对于划分为组合的应收账款，参考历史信用损失经验，结合当前状况及对未来经济状况的预测，编制应收账款与整个存续期预期信用损失率对照表，计算预期信用损失。</w:t>
      </w:r>
    </w:p>
    <w:p w:rsidR="0096712F" w:rsidRPr="00F55A22" w:rsidRDefault="0096712F" w:rsidP="0096712F">
      <w:pPr>
        <w:widowControl/>
        <w:spacing w:line="360" w:lineRule="auto"/>
        <w:ind w:firstLineChars="200" w:firstLine="480"/>
        <w:rPr>
          <w:rFonts w:ascii="Times New Roman" w:hAnsi="Times New Roman"/>
          <w:sz w:val="24"/>
          <w:lang w:val="zh-CN"/>
        </w:rPr>
      </w:pPr>
      <w:r w:rsidRPr="00F55A22">
        <w:rPr>
          <w:rFonts w:ascii="Times New Roman" w:hAnsi="Times New Roman"/>
          <w:sz w:val="24"/>
          <w:lang w:val="zh-CN"/>
        </w:rPr>
        <w:t>应收款项账龄组合计提坏账准备的比例如下：</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2"/>
        <w:gridCol w:w="4208"/>
      </w:tblGrid>
      <w:tr w:rsidR="0096712F" w:rsidRPr="00F55A22" w:rsidTr="0096712F">
        <w:trPr>
          <w:trHeight w:val="340"/>
        </w:trPr>
        <w:tc>
          <w:tcPr>
            <w:tcW w:w="4360" w:type="dxa"/>
            <w:tcMar>
              <w:top w:w="0" w:type="dxa"/>
              <w:left w:w="108" w:type="dxa"/>
              <w:bottom w:w="0" w:type="dxa"/>
              <w:right w:w="108" w:type="dxa"/>
            </w:tcMar>
            <w:vAlign w:val="center"/>
            <w:hideMark/>
          </w:tcPr>
          <w:p w:rsidR="0096712F" w:rsidRPr="009D68E7" w:rsidRDefault="0096712F" w:rsidP="0096712F">
            <w:pPr>
              <w:widowControl/>
              <w:spacing w:line="240" w:lineRule="atLeast"/>
              <w:jc w:val="center"/>
              <w:rPr>
                <w:rFonts w:ascii="Times New Roman" w:hAnsi="Times New Roman"/>
                <w:b/>
                <w:color w:val="000000"/>
                <w:kern w:val="0"/>
                <w:sz w:val="20"/>
                <w:szCs w:val="20"/>
              </w:rPr>
            </w:pPr>
            <w:r w:rsidRPr="009D68E7">
              <w:rPr>
                <w:rFonts w:ascii="Times New Roman" w:hAnsi="Times New Roman"/>
                <w:b/>
                <w:color w:val="000000"/>
                <w:kern w:val="0"/>
                <w:szCs w:val="21"/>
              </w:rPr>
              <w:t>账龄</w:t>
            </w:r>
          </w:p>
        </w:tc>
        <w:tc>
          <w:tcPr>
            <w:tcW w:w="4360" w:type="dxa"/>
            <w:tcMar>
              <w:top w:w="0" w:type="dxa"/>
              <w:left w:w="108" w:type="dxa"/>
              <w:bottom w:w="0" w:type="dxa"/>
              <w:right w:w="108" w:type="dxa"/>
            </w:tcMar>
            <w:vAlign w:val="center"/>
            <w:hideMark/>
          </w:tcPr>
          <w:p w:rsidR="0096712F" w:rsidRPr="009D68E7" w:rsidRDefault="0096712F" w:rsidP="0096712F">
            <w:pPr>
              <w:widowControl/>
              <w:spacing w:line="240" w:lineRule="atLeast"/>
              <w:jc w:val="center"/>
              <w:rPr>
                <w:rFonts w:ascii="Times New Roman" w:hAnsi="Times New Roman"/>
                <w:b/>
                <w:color w:val="000000"/>
                <w:kern w:val="0"/>
                <w:sz w:val="20"/>
                <w:szCs w:val="20"/>
              </w:rPr>
            </w:pPr>
            <w:r w:rsidRPr="009D68E7">
              <w:rPr>
                <w:rFonts w:ascii="Times New Roman" w:hAnsi="Times New Roman"/>
                <w:b/>
                <w:color w:val="000000"/>
                <w:kern w:val="0"/>
                <w:szCs w:val="21"/>
              </w:rPr>
              <w:t>应收账款预期信用损失率</w:t>
            </w:r>
            <w:r w:rsidRPr="009D68E7">
              <w:rPr>
                <w:rFonts w:ascii="Times New Roman" w:hAnsi="Times New Roman"/>
                <w:b/>
                <w:color w:val="000000"/>
                <w:kern w:val="0"/>
                <w:szCs w:val="21"/>
              </w:rPr>
              <w:t>(%)</w:t>
            </w:r>
          </w:p>
        </w:tc>
      </w:tr>
      <w:tr w:rsidR="0096712F" w:rsidRPr="00F55A22" w:rsidTr="0096712F">
        <w:trPr>
          <w:trHeight w:val="340"/>
        </w:trPr>
        <w:tc>
          <w:tcPr>
            <w:tcW w:w="436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6</w:t>
            </w:r>
            <w:r w:rsidRPr="00F55A22">
              <w:rPr>
                <w:rFonts w:ascii="Times New Roman" w:hAnsi="Times New Roman"/>
                <w:color w:val="000000"/>
                <w:kern w:val="0"/>
                <w:szCs w:val="21"/>
              </w:rPr>
              <w:t>个月以内</w:t>
            </w:r>
          </w:p>
        </w:tc>
        <w:tc>
          <w:tcPr>
            <w:tcW w:w="4360"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0</w:t>
            </w:r>
          </w:p>
        </w:tc>
      </w:tr>
      <w:tr w:rsidR="0096712F" w:rsidRPr="00F55A22" w:rsidTr="0096712F">
        <w:trPr>
          <w:trHeight w:val="340"/>
        </w:trPr>
        <w:tc>
          <w:tcPr>
            <w:tcW w:w="436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6</w:t>
            </w:r>
            <w:r w:rsidRPr="00F55A22">
              <w:rPr>
                <w:rFonts w:ascii="Times New Roman" w:hAnsi="Times New Roman"/>
                <w:color w:val="000000"/>
                <w:kern w:val="0"/>
                <w:szCs w:val="21"/>
              </w:rPr>
              <w:t>个月至</w:t>
            </w:r>
            <w:r w:rsidRPr="00F55A22">
              <w:rPr>
                <w:rFonts w:ascii="Times New Roman" w:hAnsi="Times New Roman"/>
                <w:color w:val="000000"/>
                <w:kern w:val="0"/>
                <w:szCs w:val="21"/>
              </w:rPr>
              <w:t>1</w:t>
            </w:r>
            <w:r w:rsidRPr="00F55A22">
              <w:rPr>
                <w:rFonts w:ascii="Times New Roman" w:hAnsi="Times New Roman"/>
                <w:color w:val="000000"/>
                <w:kern w:val="0"/>
                <w:szCs w:val="21"/>
              </w:rPr>
              <w:t>年</w:t>
            </w:r>
          </w:p>
        </w:tc>
        <w:tc>
          <w:tcPr>
            <w:tcW w:w="4360"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3</w:t>
            </w:r>
          </w:p>
        </w:tc>
      </w:tr>
      <w:tr w:rsidR="0096712F" w:rsidRPr="00F55A22" w:rsidTr="0096712F">
        <w:trPr>
          <w:trHeight w:val="340"/>
        </w:trPr>
        <w:tc>
          <w:tcPr>
            <w:tcW w:w="436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1</w:t>
            </w:r>
            <w:r w:rsidRPr="00F55A22">
              <w:rPr>
                <w:rFonts w:ascii="Times New Roman" w:hAnsi="Times New Roman"/>
                <w:color w:val="000000"/>
                <w:kern w:val="0"/>
                <w:szCs w:val="21"/>
              </w:rPr>
              <w:t>至</w:t>
            </w:r>
            <w:r w:rsidRPr="00F55A22">
              <w:rPr>
                <w:rFonts w:ascii="Times New Roman" w:hAnsi="Times New Roman"/>
                <w:color w:val="000000"/>
                <w:kern w:val="0"/>
                <w:szCs w:val="21"/>
              </w:rPr>
              <w:t>2</w:t>
            </w:r>
            <w:r w:rsidRPr="00F55A22">
              <w:rPr>
                <w:rFonts w:ascii="Times New Roman" w:hAnsi="Times New Roman"/>
                <w:color w:val="000000"/>
                <w:kern w:val="0"/>
                <w:szCs w:val="21"/>
              </w:rPr>
              <w:t>年</w:t>
            </w:r>
          </w:p>
        </w:tc>
        <w:tc>
          <w:tcPr>
            <w:tcW w:w="4360"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5</w:t>
            </w:r>
          </w:p>
        </w:tc>
      </w:tr>
      <w:tr w:rsidR="0096712F" w:rsidRPr="00F55A22" w:rsidTr="0096712F">
        <w:trPr>
          <w:trHeight w:val="340"/>
        </w:trPr>
        <w:tc>
          <w:tcPr>
            <w:tcW w:w="436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2</w:t>
            </w:r>
            <w:r w:rsidRPr="00F55A22">
              <w:rPr>
                <w:rFonts w:ascii="Times New Roman" w:hAnsi="Times New Roman"/>
                <w:color w:val="000000"/>
                <w:kern w:val="0"/>
                <w:szCs w:val="21"/>
              </w:rPr>
              <w:t>至</w:t>
            </w:r>
            <w:r w:rsidRPr="00F55A22">
              <w:rPr>
                <w:rFonts w:ascii="Times New Roman" w:hAnsi="Times New Roman"/>
                <w:color w:val="000000"/>
                <w:kern w:val="0"/>
                <w:szCs w:val="21"/>
              </w:rPr>
              <w:t>3</w:t>
            </w:r>
            <w:r w:rsidRPr="00F55A22">
              <w:rPr>
                <w:rFonts w:ascii="Times New Roman" w:hAnsi="Times New Roman"/>
                <w:color w:val="000000"/>
                <w:kern w:val="0"/>
                <w:szCs w:val="21"/>
              </w:rPr>
              <w:t>年</w:t>
            </w:r>
          </w:p>
        </w:tc>
        <w:tc>
          <w:tcPr>
            <w:tcW w:w="4360"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20</w:t>
            </w:r>
          </w:p>
        </w:tc>
      </w:tr>
      <w:tr w:rsidR="0096712F" w:rsidRPr="00F55A22" w:rsidTr="0096712F">
        <w:trPr>
          <w:trHeight w:val="340"/>
        </w:trPr>
        <w:tc>
          <w:tcPr>
            <w:tcW w:w="436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3</w:t>
            </w:r>
            <w:r w:rsidRPr="00F55A22">
              <w:rPr>
                <w:rFonts w:ascii="Times New Roman" w:hAnsi="Times New Roman"/>
                <w:color w:val="000000"/>
                <w:kern w:val="0"/>
                <w:szCs w:val="21"/>
              </w:rPr>
              <w:t>至</w:t>
            </w:r>
            <w:r w:rsidRPr="00F55A22">
              <w:rPr>
                <w:rFonts w:ascii="Times New Roman" w:hAnsi="Times New Roman"/>
                <w:color w:val="000000"/>
                <w:kern w:val="0"/>
                <w:szCs w:val="21"/>
              </w:rPr>
              <w:t>4</w:t>
            </w:r>
            <w:r w:rsidRPr="00F55A22">
              <w:rPr>
                <w:rFonts w:ascii="Times New Roman" w:hAnsi="Times New Roman"/>
                <w:color w:val="000000"/>
                <w:kern w:val="0"/>
                <w:szCs w:val="21"/>
              </w:rPr>
              <w:t>年</w:t>
            </w:r>
          </w:p>
        </w:tc>
        <w:tc>
          <w:tcPr>
            <w:tcW w:w="4360"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40</w:t>
            </w:r>
          </w:p>
        </w:tc>
      </w:tr>
      <w:tr w:rsidR="0096712F" w:rsidRPr="00F55A22" w:rsidTr="0096712F">
        <w:trPr>
          <w:trHeight w:val="340"/>
        </w:trPr>
        <w:tc>
          <w:tcPr>
            <w:tcW w:w="436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4</w:t>
            </w:r>
            <w:r w:rsidRPr="00F55A22">
              <w:rPr>
                <w:rFonts w:ascii="Times New Roman" w:hAnsi="Times New Roman"/>
                <w:color w:val="000000"/>
                <w:kern w:val="0"/>
                <w:szCs w:val="21"/>
              </w:rPr>
              <w:t>至</w:t>
            </w:r>
            <w:r w:rsidRPr="00F55A22">
              <w:rPr>
                <w:rFonts w:ascii="Times New Roman" w:hAnsi="Times New Roman"/>
                <w:color w:val="000000"/>
                <w:kern w:val="0"/>
                <w:szCs w:val="21"/>
              </w:rPr>
              <w:t>5</w:t>
            </w:r>
            <w:r w:rsidRPr="00F55A22">
              <w:rPr>
                <w:rFonts w:ascii="Times New Roman" w:hAnsi="Times New Roman"/>
                <w:color w:val="000000"/>
                <w:kern w:val="0"/>
                <w:szCs w:val="21"/>
              </w:rPr>
              <w:t>年</w:t>
            </w:r>
          </w:p>
        </w:tc>
        <w:tc>
          <w:tcPr>
            <w:tcW w:w="4360"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60</w:t>
            </w:r>
          </w:p>
        </w:tc>
      </w:tr>
      <w:tr w:rsidR="0096712F" w:rsidRPr="00F55A22" w:rsidTr="0096712F">
        <w:trPr>
          <w:trHeight w:val="340"/>
        </w:trPr>
        <w:tc>
          <w:tcPr>
            <w:tcW w:w="436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5</w:t>
            </w:r>
            <w:r w:rsidRPr="00F55A22">
              <w:rPr>
                <w:rFonts w:ascii="Times New Roman" w:hAnsi="Times New Roman"/>
                <w:color w:val="000000"/>
                <w:kern w:val="0"/>
                <w:szCs w:val="21"/>
              </w:rPr>
              <w:t>年以上</w:t>
            </w:r>
          </w:p>
        </w:tc>
        <w:tc>
          <w:tcPr>
            <w:tcW w:w="4360"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100</w:t>
            </w:r>
          </w:p>
        </w:tc>
      </w:tr>
    </w:tbl>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hAnsi="宋体" w:cs="宋体" w:hint="eastAsia"/>
          <w:sz w:val="24"/>
          <w:szCs w:val="24"/>
          <w:lang w:val="zh-CN"/>
        </w:rPr>
        <w:t>②</w:t>
      </w:r>
      <w:r w:rsidRPr="00F55A22">
        <w:rPr>
          <w:rFonts w:ascii="Times New Roman" w:hAnsi="Times New Roman"/>
          <w:sz w:val="24"/>
          <w:szCs w:val="24"/>
          <w:lang w:val="zh-CN"/>
        </w:rPr>
        <w:t>基于账龄确认信用风险特征组合的账龄计算方法</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对基于账龄确认信用风险特征组合的账龄计算方法，采用按客户应收款项发生日作为计算账龄的起点。对于存在多笔业务的客户，账龄的计算根据每笔业务对应发生的日期作为账龄发生日期分别计算账龄最终收回的时间。</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hAnsi="宋体" w:cs="宋体" w:hint="eastAsia"/>
          <w:sz w:val="24"/>
          <w:szCs w:val="24"/>
          <w:lang w:val="zh-CN"/>
        </w:rPr>
        <w:t>③</w:t>
      </w:r>
      <w:r w:rsidRPr="00F55A22">
        <w:rPr>
          <w:rFonts w:ascii="Times New Roman" w:hAnsi="Times New Roman"/>
          <w:sz w:val="24"/>
          <w:szCs w:val="24"/>
          <w:lang w:val="zh-CN"/>
        </w:rPr>
        <w:t>按照单项计提坏账准备的判断标准</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本公司对已发生诉讼、客户已破产、客户财务发生重大困难等信用风险与组合信用风险显著不同的应收款项，按照单项认定计提坏账准备。</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w:t>
      </w:r>
      <w:r w:rsidRPr="00F55A22">
        <w:rPr>
          <w:rFonts w:ascii="Times New Roman" w:hAnsi="Times New Roman"/>
          <w:sz w:val="24"/>
          <w:szCs w:val="24"/>
          <w:lang w:val="zh-CN"/>
        </w:rPr>
        <w:t>2</w:t>
      </w:r>
      <w:r w:rsidRPr="00F55A22">
        <w:rPr>
          <w:rFonts w:ascii="Times New Roman" w:hAnsi="Times New Roman"/>
          <w:sz w:val="24"/>
          <w:szCs w:val="24"/>
          <w:lang w:val="zh-CN"/>
        </w:rPr>
        <w:t>）包含重大融资成分的应收款项和租赁应收款。</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对于包含重大融资成分的应收款项和租赁应收款，按照一般方法，即</w:t>
      </w:r>
      <w:r w:rsidRPr="00F55A22">
        <w:rPr>
          <w:rFonts w:ascii="Times New Roman" w:hAnsi="Times New Roman"/>
          <w:sz w:val="24"/>
          <w:szCs w:val="24"/>
          <w:lang w:val="zh-CN"/>
        </w:rPr>
        <w:t>“</w:t>
      </w:r>
      <w:r w:rsidRPr="00F55A22">
        <w:rPr>
          <w:rFonts w:ascii="Times New Roman" w:hAnsi="Times New Roman"/>
          <w:sz w:val="24"/>
          <w:szCs w:val="24"/>
          <w:lang w:val="zh-CN"/>
        </w:rPr>
        <w:t>三阶段</w:t>
      </w:r>
      <w:r w:rsidRPr="00F55A22">
        <w:rPr>
          <w:rFonts w:ascii="Times New Roman" w:hAnsi="Times New Roman"/>
          <w:sz w:val="24"/>
          <w:szCs w:val="24"/>
          <w:lang w:val="zh-CN"/>
        </w:rPr>
        <w:t>”</w:t>
      </w:r>
      <w:r w:rsidRPr="00F55A22">
        <w:rPr>
          <w:rFonts w:ascii="Times New Roman" w:hAnsi="Times New Roman"/>
          <w:sz w:val="24"/>
          <w:szCs w:val="24"/>
          <w:lang w:val="zh-CN"/>
        </w:rPr>
        <w:t>模型计量损失准备。信用风险特征组合、基于账龄确认信用风险特征组合的账龄计算方法和单项计提的判断标准同不含融资成分的认定标准一致。</w:t>
      </w:r>
    </w:p>
    <w:p w:rsidR="004F1BA6" w:rsidRPr="00F55A22" w:rsidRDefault="004F1BA6" w:rsidP="001671C5">
      <w:pPr>
        <w:numPr>
          <w:ilvl w:val="0"/>
          <w:numId w:val="1"/>
        </w:numPr>
        <w:adjustRightInd w:val="0"/>
        <w:spacing w:line="360" w:lineRule="auto"/>
        <w:ind w:firstLineChars="200" w:firstLine="480"/>
        <w:rPr>
          <w:rFonts w:ascii="Times New Roman" w:hAnsi="Times New Roman"/>
          <w:bCs/>
          <w:sz w:val="24"/>
        </w:rPr>
      </w:pPr>
      <w:r w:rsidRPr="00F55A22">
        <w:rPr>
          <w:rFonts w:ascii="Times New Roman" w:hAnsi="Times New Roman"/>
          <w:bCs/>
          <w:sz w:val="24"/>
        </w:rPr>
        <w:t>其他应收款</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本公司对其他应收款按照一般方法，即</w:t>
      </w:r>
      <w:r w:rsidRPr="00F55A22">
        <w:rPr>
          <w:rFonts w:ascii="Times New Roman" w:hAnsi="Times New Roman"/>
          <w:sz w:val="24"/>
          <w:szCs w:val="24"/>
          <w:lang w:val="zh-CN"/>
        </w:rPr>
        <w:t>“</w:t>
      </w:r>
      <w:r w:rsidRPr="00F55A22">
        <w:rPr>
          <w:rFonts w:ascii="Times New Roman" w:hAnsi="Times New Roman"/>
          <w:sz w:val="24"/>
          <w:szCs w:val="24"/>
          <w:lang w:val="zh-CN"/>
        </w:rPr>
        <w:t>三阶段</w:t>
      </w:r>
      <w:r w:rsidRPr="00F55A22">
        <w:rPr>
          <w:rFonts w:ascii="Times New Roman" w:hAnsi="Times New Roman"/>
          <w:sz w:val="24"/>
          <w:szCs w:val="24"/>
          <w:lang w:val="zh-CN"/>
        </w:rPr>
        <w:t>”</w:t>
      </w:r>
      <w:r w:rsidRPr="00F55A22">
        <w:rPr>
          <w:rFonts w:ascii="Times New Roman" w:hAnsi="Times New Roman"/>
          <w:sz w:val="24"/>
          <w:szCs w:val="24"/>
          <w:lang w:val="zh-CN"/>
        </w:rPr>
        <w:t>模型计量损失准备。</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w:t>
      </w:r>
      <w:r w:rsidRPr="00F55A22">
        <w:rPr>
          <w:rFonts w:ascii="Times New Roman" w:hAnsi="Times New Roman"/>
          <w:sz w:val="24"/>
          <w:szCs w:val="24"/>
          <w:lang w:val="zh-CN"/>
        </w:rPr>
        <w:t>1</w:t>
      </w:r>
      <w:r w:rsidRPr="00F55A22">
        <w:rPr>
          <w:rFonts w:ascii="Times New Roman" w:hAnsi="Times New Roman"/>
          <w:sz w:val="24"/>
          <w:szCs w:val="24"/>
          <w:lang w:val="zh-CN"/>
        </w:rPr>
        <w:t>）按照信用风险特征组合计提坏账准备的组合类别及确定依据</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lastRenderedPageBreak/>
        <w:t>本公司根据账龄和款项性质将其他应收款划分为若干信用风险特征组合，在组合基础上计算预期信用损失，确定组合的依据如下：</w:t>
      </w:r>
    </w:p>
    <w:tbl>
      <w:tblPr>
        <w:tblW w:w="83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3"/>
        <w:gridCol w:w="4151"/>
      </w:tblGrid>
      <w:tr w:rsidR="0096712F" w:rsidRPr="005F7106" w:rsidTr="00BD45FA">
        <w:trPr>
          <w:trHeight w:val="330"/>
          <w:jc w:val="center"/>
        </w:trPr>
        <w:tc>
          <w:tcPr>
            <w:tcW w:w="4247" w:type="dxa"/>
            <w:tcMar>
              <w:top w:w="0" w:type="dxa"/>
              <w:left w:w="108" w:type="dxa"/>
              <w:bottom w:w="0" w:type="dxa"/>
              <w:right w:w="108" w:type="dxa"/>
            </w:tcMar>
            <w:vAlign w:val="center"/>
            <w:hideMark/>
          </w:tcPr>
          <w:p w:rsidR="0096712F" w:rsidRPr="00C171B4" w:rsidRDefault="0096712F" w:rsidP="00C171B4">
            <w:pPr>
              <w:widowControl/>
              <w:spacing w:line="240" w:lineRule="atLeast"/>
              <w:jc w:val="center"/>
              <w:rPr>
                <w:rFonts w:ascii="Times New Roman" w:hAnsi="Times New Roman"/>
                <w:b/>
                <w:kern w:val="0"/>
                <w:szCs w:val="21"/>
              </w:rPr>
            </w:pPr>
            <w:r w:rsidRPr="00C171B4">
              <w:rPr>
                <w:rFonts w:ascii="Times New Roman" w:hAnsi="Times New Roman"/>
                <w:b/>
                <w:kern w:val="0"/>
                <w:szCs w:val="21"/>
              </w:rPr>
              <w:t>组合类别</w:t>
            </w:r>
          </w:p>
        </w:tc>
        <w:tc>
          <w:tcPr>
            <w:tcW w:w="4247" w:type="dxa"/>
            <w:tcMar>
              <w:top w:w="0" w:type="dxa"/>
              <w:left w:w="108" w:type="dxa"/>
              <w:bottom w:w="0" w:type="dxa"/>
              <w:right w:w="108" w:type="dxa"/>
            </w:tcMar>
            <w:vAlign w:val="center"/>
            <w:hideMark/>
          </w:tcPr>
          <w:p w:rsidR="0096712F" w:rsidRPr="00C171B4" w:rsidRDefault="0096712F" w:rsidP="00C171B4">
            <w:pPr>
              <w:widowControl/>
              <w:spacing w:line="240" w:lineRule="atLeast"/>
              <w:jc w:val="center"/>
              <w:rPr>
                <w:rFonts w:ascii="Times New Roman" w:hAnsi="Times New Roman"/>
                <w:b/>
                <w:kern w:val="0"/>
                <w:szCs w:val="21"/>
              </w:rPr>
            </w:pPr>
            <w:r w:rsidRPr="00C171B4">
              <w:rPr>
                <w:rFonts w:ascii="Times New Roman" w:hAnsi="Times New Roman"/>
                <w:b/>
                <w:kern w:val="0"/>
                <w:szCs w:val="21"/>
              </w:rPr>
              <w:t>确定依据</w:t>
            </w:r>
          </w:p>
        </w:tc>
      </w:tr>
      <w:tr w:rsidR="0096712F" w:rsidRPr="005F7106" w:rsidTr="00C171B4">
        <w:trPr>
          <w:trHeight w:val="340"/>
          <w:jc w:val="center"/>
        </w:trPr>
        <w:tc>
          <w:tcPr>
            <w:tcW w:w="4247" w:type="dxa"/>
            <w:tcMar>
              <w:top w:w="0" w:type="dxa"/>
              <w:left w:w="108" w:type="dxa"/>
              <w:bottom w:w="0" w:type="dxa"/>
              <w:right w:w="108" w:type="dxa"/>
            </w:tcMar>
            <w:vAlign w:val="center"/>
            <w:hideMark/>
          </w:tcPr>
          <w:p w:rsidR="0096712F" w:rsidRPr="00C171B4" w:rsidRDefault="0096712F" w:rsidP="00C171B4">
            <w:pPr>
              <w:widowControl/>
              <w:spacing w:line="240" w:lineRule="atLeast"/>
              <w:jc w:val="center"/>
              <w:rPr>
                <w:rFonts w:ascii="Times New Roman" w:hAnsi="Times New Roman"/>
                <w:kern w:val="0"/>
                <w:szCs w:val="21"/>
              </w:rPr>
            </w:pPr>
            <w:r w:rsidRPr="00C171B4">
              <w:rPr>
                <w:rFonts w:ascii="Times New Roman" w:hAnsi="Times New Roman"/>
                <w:kern w:val="0"/>
                <w:szCs w:val="21"/>
              </w:rPr>
              <w:t>组合</w:t>
            </w:r>
            <w:r w:rsidRPr="00C171B4">
              <w:rPr>
                <w:rFonts w:ascii="Times New Roman" w:hAnsi="Times New Roman"/>
                <w:kern w:val="0"/>
                <w:szCs w:val="21"/>
              </w:rPr>
              <w:t>1</w:t>
            </w:r>
            <w:r w:rsidRPr="00C171B4">
              <w:rPr>
                <w:rFonts w:ascii="Times New Roman" w:hAnsi="Times New Roman"/>
                <w:kern w:val="0"/>
                <w:szCs w:val="21"/>
              </w:rPr>
              <w:t>：账龄组合</w:t>
            </w:r>
          </w:p>
        </w:tc>
        <w:tc>
          <w:tcPr>
            <w:tcW w:w="4247" w:type="dxa"/>
            <w:tcMar>
              <w:top w:w="0" w:type="dxa"/>
              <w:left w:w="108" w:type="dxa"/>
              <w:bottom w:w="0" w:type="dxa"/>
              <w:right w:w="108" w:type="dxa"/>
            </w:tcMar>
            <w:vAlign w:val="center"/>
            <w:hideMark/>
          </w:tcPr>
          <w:p w:rsidR="0096712F" w:rsidRPr="00C171B4" w:rsidRDefault="0096712F" w:rsidP="00C171B4">
            <w:pPr>
              <w:widowControl/>
              <w:spacing w:line="240" w:lineRule="atLeast"/>
              <w:jc w:val="center"/>
              <w:rPr>
                <w:rFonts w:ascii="Times New Roman" w:hAnsi="Times New Roman"/>
                <w:kern w:val="0"/>
                <w:szCs w:val="21"/>
              </w:rPr>
            </w:pPr>
            <w:r w:rsidRPr="00C171B4">
              <w:rPr>
                <w:rFonts w:ascii="Times New Roman" w:hAnsi="Times New Roman"/>
                <w:kern w:val="0"/>
                <w:szCs w:val="21"/>
              </w:rPr>
              <w:t>以账龄作为信用风险特征</w:t>
            </w:r>
          </w:p>
        </w:tc>
      </w:tr>
      <w:tr w:rsidR="0096712F" w:rsidRPr="005F7106" w:rsidTr="00C171B4">
        <w:trPr>
          <w:trHeight w:val="340"/>
          <w:jc w:val="center"/>
        </w:trPr>
        <w:tc>
          <w:tcPr>
            <w:tcW w:w="4247" w:type="dxa"/>
            <w:tcMar>
              <w:top w:w="0" w:type="dxa"/>
              <w:left w:w="108" w:type="dxa"/>
              <w:bottom w:w="0" w:type="dxa"/>
              <w:right w:w="108" w:type="dxa"/>
            </w:tcMar>
            <w:vAlign w:val="center"/>
            <w:hideMark/>
          </w:tcPr>
          <w:p w:rsidR="0096712F" w:rsidRPr="00C171B4" w:rsidRDefault="0096712F" w:rsidP="00C171B4">
            <w:pPr>
              <w:widowControl/>
              <w:spacing w:line="240" w:lineRule="atLeast"/>
              <w:jc w:val="center"/>
              <w:rPr>
                <w:rFonts w:ascii="Times New Roman" w:hAnsi="Times New Roman"/>
                <w:kern w:val="0"/>
                <w:szCs w:val="21"/>
              </w:rPr>
            </w:pPr>
            <w:r w:rsidRPr="00C171B4">
              <w:rPr>
                <w:rFonts w:ascii="Times New Roman" w:hAnsi="Times New Roman"/>
                <w:kern w:val="0"/>
                <w:szCs w:val="21"/>
              </w:rPr>
              <w:t>组合</w:t>
            </w:r>
            <w:r w:rsidRPr="00C171B4">
              <w:rPr>
                <w:rFonts w:ascii="Times New Roman" w:hAnsi="Times New Roman"/>
                <w:kern w:val="0"/>
                <w:szCs w:val="21"/>
              </w:rPr>
              <w:t>2</w:t>
            </w:r>
            <w:r w:rsidRPr="00C171B4">
              <w:rPr>
                <w:rFonts w:ascii="Times New Roman" w:hAnsi="Times New Roman"/>
                <w:kern w:val="0"/>
                <w:szCs w:val="21"/>
              </w:rPr>
              <w:t>：无风险组合</w:t>
            </w:r>
          </w:p>
        </w:tc>
        <w:tc>
          <w:tcPr>
            <w:tcW w:w="4247" w:type="dxa"/>
            <w:tcMar>
              <w:top w:w="0" w:type="dxa"/>
              <w:left w:w="108" w:type="dxa"/>
              <w:bottom w:w="0" w:type="dxa"/>
              <w:right w:w="108" w:type="dxa"/>
            </w:tcMar>
            <w:vAlign w:val="center"/>
            <w:hideMark/>
          </w:tcPr>
          <w:p w:rsidR="0096712F" w:rsidRPr="00C171B4" w:rsidRDefault="0096712F" w:rsidP="00C171B4">
            <w:pPr>
              <w:widowControl/>
              <w:spacing w:line="240" w:lineRule="atLeast"/>
              <w:jc w:val="center"/>
              <w:rPr>
                <w:rFonts w:ascii="Times New Roman" w:hAnsi="Times New Roman"/>
                <w:kern w:val="0"/>
                <w:szCs w:val="21"/>
              </w:rPr>
            </w:pPr>
            <w:r w:rsidRPr="00C171B4">
              <w:rPr>
                <w:rFonts w:ascii="Times New Roman" w:hAnsi="Times New Roman"/>
                <w:kern w:val="0"/>
                <w:szCs w:val="21"/>
              </w:rPr>
              <w:t>合并范围内的关联方</w:t>
            </w:r>
          </w:p>
        </w:tc>
      </w:tr>
    </w:tbl>
    <w:p w:rsidR="0096712F" w:rsidRPr="005F7106" w:rsidRDefault="0096712F" w:rsidP="005F7106">
      <w:pPr>
        <w:pStyle w:val="a4"/>
        <w:spacing w:line="360" w:lineRule="auto"/>
        <w:ind w:firstLineChars="200" w:firstLine="480"/>
        <w:rPr>
          <w:rFonts w:ascii="Times New Roman" w:hAnsi="Times New Roman"/>
          <w:sz w:val="24"/>
          <w:szCs w:val="24"/>
          <w:lang w:val="zh-CN"/>
        </w:rPr>
      </w:pPr>
      <w:r w:rsidRPr="005F7106">
        <w:rPr>
          <w:rFonts w:ascii="Times New Roman" w:hAnsi="Times New Roman"/>
          <w:sz w:val="24"/>
          <w:szCs w:val="24"/>
          <w:lang w:val="zh-CN"/>
        </w:rPr>
        <w:t>其他应收款账龄组合计提坏账准备的比例如下：</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0"/>
        <w:gridCol w:w="4156"/>
      </w:tblGrid>
      <w:tr w:rsidR="0096712F" w:rsidRPr="00F55A22" w:rsidTr="0096712F">
        <w:trPr>
          <w:trHeight w:val="340"/>
        </w:trPr>
        <w:tc>
          <w:tcPr>
            <w:tcW w:w="4150" w:type="dxa"/>
            <w:tcMar>
              <w:top w:w="0" w:type="dxa"/>
              <w:left w:w="108" w:type="dxa"/>
              <w:bottom w:w="0" w:type="dxa"/>
              <w:right w:w="108" w:type="dxa"/>
            </w:tcMar>
            <w:vAlign w:val="center"/>
            <w:hideMark/>
          </w:tcPr>
          <w:p w:rsidR="0096712F" w:rsidRPr="009D68E7" w:rsidRDefault="0096712F" w:rsidP="0096712F">
            <w:pPr>
              <w:widowControl/>
              <w:spacing w:line="240" w:lineRule="atLeast"/>
              <w:jc w:val="center"/>
              <w:rPr>
                <w:rFonts w:ascii="Times New Roman" w:hAnsi="Times New Roman"/>
                <w:b/>
                <w:color w:val="000000"/>
                <w:kern w:val="0"/>
                <w:sz w:val="20"/>
                <w:szCs w:val="20"/>
              </w:rPr>
            </w:pPr>
            <w:r w:rsidRPr="009D68E7">
              <w:rPr>
                <w:rFonts w:ascii="Times New Roman" w:hAnsi="Times New Roman"/>
                <w:b/>
                <w:color w:val="000000"/>
                <w:kern w:val="0"/>
                <w:szCs w:val="21"/>
              </w:rPr>
              <w:t>账龄</w:t>
            </w:r>
          </w:p>
        </w:tc>
        <w:tc>
          <w:tcPr>
            <w:tcW w:w="4156" w:type="dxa"/>
            <w:tcMar>
              <w:top w:w="0" w:type="dxa"/>
              <w:left w:w="108" w:type="dxa"/>
              <w:bottom w:w="0" w:type="dxa"/>
              <w:right w:w="108" w:type="dxa"/>
            </w:tcMar>
            <w:vAlign w:val="center"/>
            <w:hideMark/>
          </w:tcPr>
          <w:p w:rsidR="0096712F" w:rsidRPr="009D68E7" w:rsidRDefault="0096712F" w:rsidP="0096712F">
            <w:pPr>
              <w:widowControl/>
              <w:spacing w:line="240" w:lineRule="atLeast"/>
              <w:jc w:val="center"/>
              <w:rPr>
                <w:rFonts w:ascii="Times New Roman" w:hAnsi="Times New Roman"/>
                <w:b/>
                <w:color w:val="000000"/>
                <w:kern w:val="0"/>
                <w:sz w:val="20"/>
                <w:szCs w:val="20"/>
              </w:rPr>
            </w:pPr>
            <w:r w:rsidRPr="009D68E7">
              <w:rPr>
                <w:rFonts w:ascii="Times New Roman" w:hAnsi="Times New Roman"/>
                <w:b/>
                <w:color w:val="000000"/>
                <w:kern w:val="0"/>
                <w:szCs w:val="21"/>
              </w:rPr>
              <w:t>其他应收款预期信用损失率</w:t>
            </w:r>
            <w:r w:rsidRPr="009D68E7">
              <w:rPr>
                <w:rFonts w:ascii="Times New Roman" w:hAnsi="Times New Roman"/>
                <w:b/>
                <w:color w:val="000000"/>
                <w:kern w:val="0"/>
                <w:szCs w:val="21"/>
              </w:rPr>
              <w:t>(%)</w:t>
            </w:r>
          </w:p>
        </w:tc>
      </w:tr>
      <w:tr w:rsidR="0096712F" w:rsidRPr="00F55A22" w:rsidTr="0096712F">
        <w:trPr>
          <w:trHeight w:val="340"/>
        </w:trPr>
        <w:tc>
          <w:tcPr>
            <w:tcW w:w="415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6</w:t>
            </w:r>
            <w:r w:rsidRPr="00F55A22">
              <w:rPr>
                <w:rFonts w:ascii="Times New Roman" w:hAnsi="Times New Roman"/>
                <w:color w:val="000000"/>
                <w:kern w:val="0"/>
                <w:szCs w:val="21"/>
              </w:rPr>
              <w:t>个月以内</w:t>
            </w:r>
          </w:p>
        </w:tc>
        <w:tc>
          <w:tcPr>
            <w:tcW w:w="4156"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0</w:t>
            </w:r>
          </w:p>
        </w:tc>
      </w:tr>
      <w:tr w:rsidR="0096712F" w:rsidRPr="00F55A22" w:rsidTr="0096712F">
        <w:trPr>
          <w:trHeight w:val="340"/>
        </w:trPr>
        <w:tc>
          <w:tcPr>
            <w:tcW w:w="415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6</w:t>
            </w:r>
            <w:r w:rsidRPr="00F55A22">
              <w:rPr>
                <w:rFonts w:ascii="Times New Roman" w:hAnsi="Times New Roman"/>
                <w:color w:val="000000"/>
                <w:kern w:val="0"/>
                <w:szCs w:val="21"/>
              </w:rPr>
              <w:t>个月至</w:t>
            </w:r>
            <w:r w:rsidRPr="00F55A22">
              <w:rPr>
                <w:rFonts w:ascii="Times New Roman" w:hAnsi="Times New Roman"/>
                <w:color w:val="000000"/>
                <w:kern w:val="0"/>
                <w:szCs w:val="21"/>
              </w:rPr>
              <w:t>1</w:t>
            </w:r>
            <w:r w:rsidRPr="00F55A22">
              <w:rPr>
                <w:rFonts w:ascii="Times New Roman" w:hAnsi="Times New Roman"/>
                <w:color w:val="000000"/>
                <w:kern w:val="0"/>
                <w:szCs w:val="21"/>
              </w:rPr>
              <w:t>年</w:t>
            </w:r>
          </w:p>
        </w:tc>
        <w:tc>
          <w:tcPr>
            <w:tcW w:w="4156"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3</w:t>
            </w:r>
          </w:p>
        </w:tc>
      </w:tr>
      <w:tr w:rsidR="0096712F" w:rsidRPr="00F55A22" w:rsidTr="0096712F">
        <w:trPr>
          <w:trHeight w:val="340"/>
        </w:trPr>
        <w:tc>
          <w:tcPr>
            <w:tcW w:w="415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1</w:t>
            </w:r>
            <w:r w:rsidRPr="00F55A22">
              <w:rPr>
                <w:rFonts w:ascii="Times New Roman" w:hAnsi="Times New Roman"/>
                <w:color w:val="000000"/>
                <w:kern w:val="0"/>
                <w:szCs w:val="21"/>
              </w:rPr>
              <w:t>至</w:t>
            </w:r>
            <w:r w:rsidRPr="00F55A22">
              <w:rPr>
                <w:rFonts w:ascii="Times New Roman" w:hAnsi="Times New Roman"/>
                <w:color w:val="000000"/>
                <w:kern w:val="0"/>
                <w:szCs w:val="21"/>
              </w:rPr>
              <w:t>2</w:t>
            </w:r>
            <w:r w:rsidRPr="00F55A22">
              <w:rPr>
                <w:rFonts w:ascii="Times New Roman" w:hAnsi="Times New Roman"/>
                <w:color w:val="000000"/>
                <w:kern w:val="0"/>
                <w:szCs w:val="21"/>
              </w:rPr>
              <w:t>年</w:t>
            </w:r>
          </w:p>
        </w:tc>
        <w:tc>
          <w:tcPr>
            <w:tcW w:w="4156"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5</w:t>
            </w:r>
          </w:p>
        </w:tc>
      </w:tr>
      <w:tr w:rsidR="0096712F" w:rsidRPr="00F55A22" w:rsidTr="0096712F">
        <w:trPr>
          <w:trHeight w:val="340"/>
        </w:trPr>
        <w:tc>
          <w:tcPr>
            <w:tcW w:w="415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2</w:t>
            </w:r>
            <w:r w:rsidRPr="00F55A22">
              <w:rPr>
                <w:rFonts w:ascii="Times New Roman" w:hAnsi="Times New Roman"/>
                <w:color w:val="000000"/>
                <w:kern w:val="0"/>
                <w:szCs w:val="21"/>
              </w:rPr>
              <w:t>至</w:t>
            </w:r>
            <w:r w:rsidRPr="00F55A22">
              <w:rPr>
                <w:rFonts w:ascii="Times New Roman" w:hAnsi="Times New Roman"/>
                <w:color w:val="000000"/>
                <w:kern w:val="0"/>
                <w:szCs w:val="21"/>
              </w:rPr>
              <w:t>3</w:t>
            </w:r>
            <w:r w:rsidRPr="00F55A22">
              <w:rPr>
                <w:rFonts w:ascii="Times New Roman" w:hAnsi="Times New Roman"/>
                <w:color w:val="000000"/>
                <w:kern w:val="0"/>
                <w:szCs w:val="21"/>
              </w:rPr>
              <w:t>年</w:t>
            </w:r>
          </w:p>
        </w:tc>
        <w:tc>
          <w:tcPr>
            <w:tcW w:w="4156"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20</w:t>
            </w:r>
          </w:p>
        </w:tc>
      </w:tr>
      <w:tr w:rsidR="0096712F" w:rsidRPr="00F55A22" w:rsidTr="0096712F">
        <w:trPr>
          <w:trHeight w:val="340"/>
        </w:trPr>
        <w:tc>
          <w:tcPr>
            <w:tcW w:w="415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3</w:t>
            </w:r>
            <w:r w:rsidRPr="00F55A22">
              <w:rPr>
                <w:rFonts w:ascii="Times New Roman" w:hAnsi="Times New Roman"/>
                <w:color w:val="000000"/>
                <w:kern w:val="0"/>
                <w:szCs w:val="21"/>
              </w:rPr>
              <w:t>至</w:t>
            </w:r>
            <w:r w:rsidRPr="00F55A22">
              <w:rPr>
                <w:rFonts w:ascii="Times New Roman" w:hAnsi="Times New Roman"/>
                <w:color w:val="000000"/>
                <w:kern w:val="0"/>
                <w:szCs w:val="21"/>
              </w:rPr>
              <w:t>4</w:t>
            </w:r>
            <w:r w:rsidRPr="00F55A22">
              <w:rPr>
                <w:rFonts w:ascii="Times New Roman" w:hAnsi="Times New Roman"/>
                <w:color w:val="000000"/>
                <w:kern w:val="0"/>
                <w:szCs w:val="21"/>
              </w:rPr>
              <w:t>年</w:t>
            </w:r>
          </w:p>
        </w:tc>
        <w:tc>
          <w:tcPr>
            <w:tcW w:w="4156"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40</w:t>
            </w:r>
          </w:p>
        </w:tc>
      </w:tr>
      <w:tr w:rsidR="0096712F" w:rsidRPr="00F55A22" w:rsidTr="0096712F">
        <w:trPr>
          <w:trHeight w:val="340"/>
        </w:trPr>
        <w:tc>
          <w:tcPr>
            <w:tcW w:w="415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4</w:t>
            </w:r>
            <w:r w:rsidRPr="00F55A22">
              <w:rPr>
                <w:rFonts w:ascii="Times New Roman" w:hAnsi="Times New Roman"/>
                <w:color w:val="000000"/>
                <w:kern w:val="0"/>
                <w:szCs w:val="21"/>
              </w:rPr>
              <w:t>至</w:t>
            </w:r>
            <w:r w:rsidRPr="00F55A22">
              <w:rPr>
                <w:rFonts w:ascii="Times New Roman" w:hAnsi="Times New Roman"/>
                <w:color w:val="000000"/>
                <w:kern w:val="0"/>
                <w:szCs w:val="21"/>
              </w:rPr>
              <w:t>5</w:t>
            </w:r>
            <w:r w:rsidRPr="00F55A22">
              <w:rPr>
                <w:rFonts w:ascii="Times New Roman" w:hAnsi="Times New Roman"/>
                <w:color w:val="000000"/>
                <w:kern w:val="0"/>
                <w:szCs w:val="21"/>
              </w:rPr>
              <w:t>年</w:t>
            </w:r>
          </w:p>
        </w:tc>
        <w:tc>
          <w:tcPr>
            <w:tcW w:w="4156"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60</w:t>
            </w:r>
          </w:p>
        </w:tc>
      </w:tr>
      <w:tr w:rsidR="0096712F" w:rsidRPr="00F55A22" w:rsidTr="0096712F">
        <w:trPr>
          <w:trHeight w:val="340"/>
        </w:trPr>
        <w:tc>
          <w:tcPr>
            <w:tcW w:w="4150" w:type="dxa"/>
            <w:tcMar>
              <w:top w:w="0" w:type="dxa"/>
              <w:left w:w="108" w:type="dxa"/>
              <w:bottom w:w="0" w:type="dxa"/>
              <w:right w:w="108" w:type="dxa"/>
            </w:tcMar>
            <w:vAlign w:val="center"/>
            <w:hideMark/>
          </w:tcPr>
          <w:p w:rsidR="0096712F" w:rsidRPr="00F55A22" w:rsidRDefault="0096712F" w:rsidP="0077740C">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5</w:t>
            </w:r>
            <w:r w:rsidRPr="00F55A22">
              <w:rPr>
                <w:rFonts w:ascii="Times New Roman" w:hAnsi="Times New Roman"/>
                <w:color w:val="000000"/>
                <w:kern w:val="0"/>
                <w:szCs w:val="21"/>
              </w:rPr>
              <w:t>年以上</w:t>
            </w:r>
          </w:p>
        </w:tc>
        <w:tc>
          <w:tcPr>
            <w:tcW w:w="4156" w:type="dxa"/>
            <w:tcMar>
              <w:top w:w="0" w:type="dxa"/>
              <w:left w:w="108" w:type="dxa"/>
              <w:bottom w:w="0" w:type="dxa"/>
              <w:right w:w="108" w:type="dxa"/>
            </w:tcMar>
            <w:vAlign w:val="center"/>
            <w:hideMark/>
          </w:tcPr>
          <w:p w:rsidR="0096712F" w:rsidRPr="00F55A22" w:rsidRDefault="0096712F" w:rsidP="0096712F">
            <w:pPr>
              <w:widowControl/>
              <w:spacing w:line="240" w:lineRule="atLeast"/>
              <w:jc w:val="center"/>
              <w:rPr>
                <w:rFonts w:ascii="Times New Roman" w:hAnsi="Times New Roman"/>
                <w:color w:val="000000"/>
                <w:kern w:val="0"/>
                <w:sz w:val="20"/>
                <w:szCs w:val="20"/>
              </w:rPr>
            </w:pPr>
            <w:r w:rsidRPr="00F55A22">
              <w:rPr>
                <w:rFonts w:ascii="Times New Roman" w:hAnsi="Times New Roman"/>
                <w:color w:val="000000"/>
                <w:kern w:val="0"/>
                <w:szCs w:val="21"/>
              </w:rPr>
              <w:t>100</w:t>
            </w:r>
          </w:p>
        </w:tc>
      </w:tr>
    </w:tbl>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w:t>
      </w:r>
      <w:r w:rsidRPr="00F55A22">
        <w:rPr>
          <w:rFonts w:ascii="Times New Roman" w:hAnsi="Times New Roman"/>
          <w:sz w:val="24"/>
          <w:szCs w:val="24"/>
          <w:lang w:val="zh-CN"/>
        </w:rPr>
        <w:t>2</w:t>
      </w:r>
      <w:r w:rsidRPr="00F55A22">
        <w:rPr>
          <w:rFonts w:ascii="Times New Roman" w:hAnsi="Times New Roman"/>
          <w:sz w:val="24"/>
          <w:szCs w:val="24"/>
          <w:lang w:val="zh-CN"/>
        </w:rPr>
        <w:t>）基于账龄确认信用风险特征组合的账龄计算方法</w:t>
      </w:r>
    </w:p>
    <w:p w:rsidR="0096712F" w:rsidRPr="00F55A22" w:rsidRDefault="0096712F" w:rsidP="0070325B">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参见</w:t>
      </w:r>
      <w:r w:rsidR="003F22D4" w:rsidRPr="00F55A22">
        <w:rPr>
          <w:rFonts w:ascii="Times New Roman" w:hAnsi="Times New Roman"/>
          <w:sz w:val="24"/>
          <w:szCs w:val="24"/>
          <w:lang w:val="zh-CN"/>
        </w:rPr>
        <w:t>（</w:t>
      </w:r>
      <w:r w:rsidR="0071451C">
        <w:rPr>
          <w:rFonts w:ascii="Times New Roman" w:hAnsi="Times New Roman" w:hint="eastAsia"/>
          <w:sz w:val="24"/>
          <w:szCs w:val="24"/>
          <w:lang w:val="zh-CN"/>
        </w:rPr>
        <w:t>一</w:t>
      </w:r>
      <w:r w:rsidR="003F22D4" w:rsidRPr="00F55A22">
        <w:rPr>
          <w:rFonts w:ascii="Times New Roman" w:hAnsi="Times New Roman"/>
          <w:sz w:val="24"/>
          <w:szCs w:val="24"/>
          <w:lang w:val="zh-CN"/>
        </w:rPr>
        <w:t>）</w:t>
      </w:r>
      <w:r w:rsidRPr="00F55A22">
        <w:rPr>
          <w:rFonts w:ascii="Times New Roman" w:hAnsi="Times New Roman"/>
          <w:sz w:val="24"/>
          <w:szCs w:val="24"/>
          <w:lang w:val="zh-CN"/>
        </w:rPr>
        <w:t>应收账款中</w:t>
      </w:r>
      <w:r w:rsidRPr="00F55A22">
        <w:rPr>
          <w:rFonts w:ascii="Times New Roman" w:hAnsi="Times New Roman"/>
          <w:sz w:val="24"/>
          <w:szCs w:val="24"/>
          <w:lang w:val="zh-CN"/>
        </w:rPr>
        <w:t>“</w:t>
      </w:r>
      <w:r w:rsidRPr="00F55A22">
        <w:rPr>
          <w:rFonts w:ascii="Times New Roman" w:hAnsi="Times New Roman"/>
          <w:sz w:val="24"/>
          <w:szCs w:val="24"/>
          <w:lang w:val="zh-CN"/>
        </w:rPr>
        <w:t>不包含重大融资成分的应收款项</w:t>
      </w:r>
      <w:r w:rsidRPr="00F55A22">
        <w:rPr>
          <w:rFonts w:ascii="Times New Roman" w:hAnsi="Times New Roman"/>
          <w:sz w:val="24"/>
          <w:szCs w:val="24"/>
          <w:lang w:val="zh-CN"/>
        </w:rPr>
        <w:t>”</w:t>
      </w:r>
      <w:r w:rsidRPr="00F55A22">
        <w:rPr>
          <w:rFonts w:ascii="Times New Roman" w:hAnsi="Times New Roman"/>
          <w:sz w:val="24"/>
          <w:szCs w:val="24"/>
          <w:lang w:val="zh-CN"/>
        </w:rPr>
        <w:t>的说明。</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w:t>
      </w:r>
      <w:r w:rsidRPr="00F55A22">
        <w:rPr>
          <w:rFonts w:ascii="Times New Roman" w:hAnsi="Times New Roman"/>
          <w:sz w:val="24"/>
          <w:szCs w:val="24"/>
          <w:lang w:val="zh-CN"/>
        </w:rPr>
        <w:t>3</w:t>
      </w:r>
      <w:r w:rsidRPr="00F55A22">
        <w:rPr>
          <w:rFonts w:ascii="Times New Roman" w:hAnsi="Times New Roman"/>
          <w:sz w:val="24"/>
          <w:szCs w:val="24"/>
          <w:lang w:val="zh-CN"/>
        </w:rPr>
        <w:t>）按照单项计提坏账准备的判断标准</w:t>
      </w:r>
    </w:p>
    <w:p w:rsidR="0096712F" w:rsidRPr="00F55A22" w:rsidRDefault="0096712F" w:rsidP="0096712F">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参见</w:t>
      </w:r>
      <w:r w:rsidR="003F22D4" w:rsidRPr="00F55A22">
        <w:rPr>
          <w:rFonts w:ascii="Times New Roman" w:hAnsi="Times New Roman"/>
          <w:sz w:val="24"/>
          <w:szCs w:val="24"/>
          <w:lang w:val="zh-CN"/>
        </w:rPr>
        <w:t>（</w:t>
      </w:r>
      <w:r w:rsidR="0071451C">
        <w:rPr>
          <w:rFonts w:ascii="Times New Roman" w:hAnsi="Times New Roman" w:hint="eastAsia"/>
          <w:sz w:val="24"/>
          <w:szCs w:val="24"/>
          <w:lang w:val="zh-CN"/>
        </w:rPr>
        <w:t>一</w:t>
      </w:r>
      <w:r w:rsidR="003F22D4" w:rsidRPr="00F55A22">
        <w:rPr>
          <w:rFonts w:ascii="Times New Roman" w:hAnsi="Times New Roman"/>
          <w:sz w:val="24"/>
          <w:szCs w:val="24"/>
          <w:lang w:val="zh-CN"/>
        </w:rPr>
        <w:t>）</w:t>
      </w:r>
      <w:r w:rsidRPr="00F55A22">
        <w:rPr>
          <w:rFonts w:ascii="Times New Roman" w:hAnsi="Times New Roman"/>
          <w:sz w:val="24"/>
          <w:szCs w:val="24"/>
          <w:lang w:val="zh-CN"/>
        </w:rPr>
        <w:t>应收账款中</w:t>
      </w:r>
      <w:r w:rsidRPr="00F55A22">
        <w:rPr>
          <w:rFonts w:ascii="Times New Roman" w:hAnsi="Times New Roman"/>
          <w:sz w:val="24"/>
          <w:szCs w:val="24"/>
          <w:lang w:val="zh-CN"/>
        </w:rPr>
        <w:t>“</w:t>
      </w:r>
      <w:r w:rsidRPr="00F55A22">
        <w:rPr>
          <w:rFonts w:ascii="Times New Roman" w:hAnsi="Times New Roman"/>
          <w:sz w:val="24"/>
          <w:szCs w:val="24"/>
          <w:lang w:val="zh-CN"/>
        </w:rPr>
        <w:t>不包含重大融资成分的应收款项</w:t>
      </w:r>
      <w:r w:rsidRPr="00F55A22">
        <w:rPr>
          <w:rFonts w:ascii="Times New Roman" w:hAnsi="Times New Roman"/>
          <w:sz w:val="24"/>
          <w:szCs w:val="24"/>
          <w:lang w:val="zh-CN"/>
        </w:rPr>
        <w:t>”</w:t>
      </w:r>
      <w:r w:rsidRPr="00F55A22">
        <w:rPr>
          <w:rFonts w:ascii="Times New Roman" w:hAnsi="Times New Roman"/>
          <w:sz w:val="24"/>
          <w:szCs w:val="24"/>
          <w:lang w:val="zh-CN"/>
        </w:rPr>
        <w:t>的说明。</w:t>
      </w:r>
    </w:p>
    <w:p w:rsidR="001671C5" w:rsidRPr="00F55A22" w:rsidRDefault="001671C5" w:rsidP="0070325B">
      <w:pPr>
        <w:pStyle w:val="a4"/>
        <w:spacing w:line="360" w:lineRule="auto"/>
        <w:ind w:firstLineChars="200" w:firstLine="480"/>
        <w:rPr>
          <w:rFonts w:ascii="Times New Roman" w:hAnsi="Times New Roman"/>
          <w:sz w:val="24"/>
          <w:szCs w:val="24"/>
          <w:lang w:val="zh-CN"/>
        </w:rPr>
      </w:pPr>
      <w:r w:rsidRPr="00F55A22">
        <w:rPr>
          <w:rFonts w:ascii="Times New Roman" w:hAnsi="Times New Roman"/>
          <w:sz w:val="24"/>
          <w:szCs w:val="24"/>
          <w:lang w:val="zh-CN"/>
        </w:rPr>
        <w:t>（三）合同资产</w:t>
      </w:r>
    </w:p>
    <w:p w:rsidR="001671C5" w:rsidRPr="0070325B" w:rsidRDefault="001671C5" w:rsidP="0070325B">
      <w:pPr>
        <w:pStyle w:val="a4"/>
        <w:spacing w:line="360" w:lineRule="auto"/>
        <w:ind w:firstLineChars="200" w:firstLine="480"/>
        <w:rPr>
          <w:rFonts w:ascii="Times New Roman" w:hAnsi="Times New Roman"/>
          <w:sz w:val="24"/>
          <w:szCs w:val="24"/>
          <w:lang w:val="zh-CN"/>
        </w:rPr>
      </w:pPr>
      <w:r w:rsidRPr="0070325B">
        <w:rPr>
          <w:rFonts w:ascii="Times New Roman" w:hAnsi="Times New Roman"/>
          <w:sz w:val="24"/>
          <w:szCs w:val="24"/>
          <w:lang w:val="zh-CN"/>
        </w:rPr>
        <w:t>本公司将已向客户转让商品或服务而有权收取对价的权利（且该权利取决于时间流逝之外的其他因素）作为合同资产列示。合同资产的减值准备计提参照附注预期信用损失的确定方法。合同资产按照信用风险特征分为如下组合：</w:t>
      </w:r>
    </w:p>
    <w:tbl>
      <w:tblPr>
        <w:tblW w:w="493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204"/>
      </w:tblGrid>
      <w:tr w:rsidR="001671C5" w:rsidRPr="00F55A22" w:rsidTr="00C171B4">
        <w:trPr>
          <w:trHeight w:val="340"/>
          <w:jc w:val="center"/>
        </w:trPr>
        <w:tc>
          <w:tcPr>
            <w:tcW w:w="4247" w:type="dxa"/>
            <w:vAlign w:val="center"/>
            <w:hideMark/>
          </w:tcPr>
          <w:p w:rsidR="001671C5" w:rsidRPr="009D68E7" w:rsidRDefault="001671C5" w:rsidP="001671C5">
            <w:pPr>
              <w:pStyle w:val="af0"/>
              <w:ind w:firstLine="200"/>
              <w:jc w:val="center"/>
              <w:rPr>
                <w:rFonts w:ascii="Times New Roman" w:hAnsi="Times New Roman" w:cs="Times New Roman"/>
                <w:b/>
                <w:color w:val="auto"/>
                <w:sz w:val="21"/>
                <w:szCs w:val="21"/>
              </w:rPr>
            </w:pPr>
            <w:r w:rsidRPr="009D68E7">
              <w:rPr>
                <w:rFonts w:ascii="Times New Roman" w:hAnsi="Times New Roman" w:cs="Times New Roman"/>
                <w:b/>
                <w:color w:val="auto"/>
                <w:sz w:val="21"/>
                <w:szCs w:val="21"/>
              </w:rPr>
              <w:t>组合类别</w:t>
            </w:r>
          </w:p>
        </w:tc>
        <w:tc>
          <w:tcPr>
            <w:tcW w:w="4247" w:type="dxa"/>
            <w:vAlign w:val="center"/>
            <w:hideMark/>
          </w:tcPr>
          <w:p w:rsidR="001671C5" w:rsidRPr="009D68E7" w:rsidRDefault="001671C5" w:rsidP="001671C5">
            <w:pPr>
              <w:pStyle w:val="af0"/>
              <w:ind w:firstLine="200"/>
              <w:jc w:val="center"/>
              <w:rPr>
                <w:rFonts w:ascii="Times New Roman" w:hAnsi="Times New Roman" w:cs="Times New Roman"/>
                <w:b/>
                <w:color w:val="auto"/>
                <w:sz w:val="21"/>
                <w:szCs w:val="21"/>
              </w:rPr>
            </w:pPr>
            <w:r w:rsidRPr="009D68E7">
              <w:rPr>
                <w:rFonts w:ascii="Times New Roman" w:hAnsi="Times New Roman" w:cs="Times New Roman"/>
                <w:b/>
                <w:color w:val="auto"/>
                <w:sz w:val="21"/>
                <w:szCs w:val="21"/>
              </w:rPr>
              <w:t>确定依据</w:t>
            </w:r>
          </w:p>
        </w:tc>
      </w:tr>
      <w:tr w:rsidR="001671C5" w:rsidRPr="00F55A22" w:rsidTr="00C171B4">
        <w:trPr>
          <w:trHeight w:val="340"/>
          <w:jc w:val="center"/>
        </w:trPr>
        <w:tc>
          <w:tcPr>
            <w:tcW w:w="4247" w:type="dxa"/>
            <w:vAlign w:val="center"/>
            <w:hideMark/>
          </w:tcPr>
          <w:p w:rsidR="001671C5" w:rsidRPr="005F7106" w:rsidRDefault="001671C5" w:rsidP="0096712F">
            <w:pPr>
              <w:pStyle w:val="af0"/>
              <w:rPr>
                <w:rFonts w:ascii="Times New Roman" w:hAnsi="Times New Roman" w:cs="Times New Roman"/>
                <w:color w:val="auto"/>
                <w:sz w:val="21"/>
                <w:szCs w:val="21"/>
              </w:rPr>
            </w:pPr>
            <w:r w:rsidRPr="005F7106">
              <w:rPr>
                <w:rFonts w:ascii="Times New Roman" w:hAnsi="Times New Roman" w:cs="Times New Roman"/>
                <w:color w:val="auto"/>
                <w:sz w:val="21"/>
                <w:szCs w:val="21"/>
              </w:rPr>
              <w:t>组合</w:t>
            </w:r>
            <w:r w:rsidRPr="005F7106">
              <w:rPr>
                <w:rFonts w:ascii="Times New Roman" w:hAnsi="Times New Roman" w:cs="Times New Roman"/>
                <w:color w:val="auto"/>
                <w:sz w:val="21"/>
                <w:szCs w:val="21"/>
              </w:rPr>
              <w:t>1</w:t>
            </w:r>
            <w:r w:rsidRPr="005F7106">
              <w:rPr>
                <w:rFonts w:ascii="Times New Roman" w:hAnsi="Times New Roman" w:cs="Times New Roman"/>
                <w:color w:val="auto"/>
                <w:sz w:val="21"/>
                <w:szCs w:val="21"/>
              </w:rPr>
              <w:t>：账龄组合</w:t>
            </w:r>
          </w:p>
        </w:tc>
        <w:tc>
          <w:tcPr>
            <w:tcW w:w="4247" w:type="dxa"/>
            <w:vAlign w:val="center"/>
            <w:hideMark/>
          </w:tcPr>
          <w:p w:rsidR="001671C5" w:rsidRPr="005F7106" w:rsidRDefault="001671C5" w:rsidP="0096712F">
            <w:pPr>
              <w:pStyle w:val="af0"/>
              <w:rPr>
                <w:rFonts w:ascii="Times New Roman" w:hAnsi="Times New Roman" w:cs="Times New Roman"/>
                <w:color w:val="auto"/>
                <w:sz w:val="21"/>
                <w:szCs w:val="21"/>
              </w:rPr>
            </w:pPr>
            <w:r w:rsidRPr="005F7106">
              <w:rPr>
                <w:rFonts w:ascii="Times New Roman" w:hAnsi="Times New Roman" w:cs="Times New Roman"/>
                <w:color w:val="auto"/>
                <w:sz w:val="21"/>
                <w:szCs w:val="21"/>
              </w:rPr>
              <w:t>账龄</w:t>
            </w:r>
          </w:p>
        </w:tc>
      </w:tr>
      <w:tr w:rsidR="001671C5" w:rsidRPr="00F55A22" w:rsidTr="00C171B4">
        <w:trPr>
          <w:trHeight w:val="340"/>
          <w:jc w:val="center"/>
        </w:trPr>
        <w:tc>
          <w:tcPr>
            <w:tcW w:w="4247" w:type="dxa"/>
            <w:vAlign w:val="center"/>
            <w:hideMark/>
          </w:tcPr>
          <w:p w:rsidR="001671C5" w:rsidRPr="005F7106" w:rsidRDefault="001671C5" w:rsidP="0096712F">
            <w:pPr>
              <w:pStyle w:val="af0"/>
              <w:rPr>
                <w:rFonts w:ascii="Times New Roman" w:hAnsi="Times New Roman" w:cs="Times New Roman"/>
                <w:color w:val="auto"/>
                <w:sz w:val="21"/>
                <w:szCs w:val="21"/>
              </w:rPr>
            </w:pPr>
            <w:r w:rsidRPr="005F7106">
              <w:rPr>
                <w:rFonts w:ascii="Times New Roman" w:hAnsi="Times New Roman" w:cs="Times New Roman"/>
                <w:color w:val="auto"/>
                <w:sz w:val="21"/>
                <w:szCs w:val="21"/>
              </w:rPr>
              <w:t>组合</w:t>
            </w:r>
            <w:r w:rsidRPr="005F7106">
              <w:rPr>
                <w:rFonts w:ascii="Times New Roman" w:hAnsi="Times New Roman" w:cs="Times New Roman"/>
                <w:color w:val="auto"/>
                <w:sz w:val="21"/>
                <w:szCs w:val="21"/>
              </w:rPr>
              <w:t>2</w:t>
            </w:r>
            <w:r w:rsidRPr="005F7106">
              <w:rPr>
                <w:rFonts w:ascii="Times New Roman" w:hAnsi="Times New Roman" w:cs="Times New Roman"/>
                <w:color w:val="auto"/>
                <w:sz w:val="21"/>
                <w:szCs w:val="21"/>
              </w:rPr>
              <w:t>：其他组合</w:t>
            </w:r>
          </w:p>
        </w:tc>
        <w:tc>
          <w:tcPr>
            <w:tcW w:w="4247" w:type="dxa"/>
            <w:vAlign w:val="center"/>
            <w:hideMark/>
          </w:tcPr>
          <w:p w:rsidR="001671C5" w:rsidRPr="005F7106" w:rsidRDefault="001671C5" w:rsidP="0096712F">
            <w:pPr>
              <w:pStyle w:val="af0"/>
              <w:rPr>
                <w:rFonts w:ascii="Times New Roman" w:hAnsi="Times New Roman" w:cs="Times New Roman"/>
                <w:color w:val="auto"/>
                <w:sz w:val="21"/>
                <w:szCs w:val="21"/>
              </w:rPr>
            </w:pPr>
            <w:r w:rsidRPr="005F7106">
              <w:rPr>
                <w:rFonts w:ascii="Times New Roman" w:hAnsi="Times New Roman" w:cs="Times New Roman"/>
                <w:color w:val="auto"/>
                <w:sz w:val="21"/>
                <w:szCs w:val="21"/>
              </w:rPr>
              <w:t>合并范围内的关联方</w:t>
            </w:r>
          </w:p>
        </w:tc>
      </w:tr>
    </w:tbl>
    <w:p w:rsidR="00F55A22" w:rsidRDefault="00F55A22" w:rsidP="0096712F">
      <w:pPr>
        <w:pStyle w:val="a4"/>
        <w:snapToGrid w:val="0"/>
        <w:spacing w:line="460" w:lineRule="atLeast"/>
        <w:ind w:firstLineChars="200" w:firstLine="480"/>
        <w:rPr>
          <w:rFonts w:ascii="Times New Roman" w:hAnsi="Times New Roman"/>
          <w:sz w:val="24"/>
          <w:szCs w:val="24"/>
          <w:lang w:val="zh-CN"/>
        </w:rPr>
      </w:pPr>
    </w:p>
    <w:p w:rsidR="004F1BA6" w:rsidRPr="00F55A22" w:rsidRDefault="004F1BA6" w:rsidP="0096712F">
      <w:pPr>
        <w:pStyle w:val="a4"/>
        <w:snapToGrid w:val="0"/>
        <w:spacing w:line="460" w:lineRule="atLeast"/>
        <w:ind w:firstLineChars="200" w:firstLine="480"/>
        <w:rPr>
          <w:rFonts w:ascii="Times New Roman" w:hAnsi="Times New Roman"/>
          <w:sz w:val="24"/>
          <w:szCs w:val="24"/>
          <w:lang w:val="zh-CN"/>
        </w:rPr>
      </w:pPr>
      <w:r w:rsidRPr="00F55A22">
        <w:rPr>
          <w:rFonts w:ascii="Times New Roman" w:hAnsi="Times New Roman"/>
          <w:sz w:val="24"/>
          <w:szCs w:val="24"/>
          <w:lang w:val="zh-CN"/>
        </w:rPr>
        <w:t>特此公告。</w:t>
      </w:r>
    </w:p>
    <w:p w:rsidR="004F1BA6" w:rsidRPr="00F55A22" w:rsidRDefault="004F1BA6" w:rsidP="001671C5">
      <w:pPr>
        <w:spacing w:line="360" w:lineRule="auto"/>
        <w:ind w:firstLineChars="200" w:firstLine="480"/>
        <w:rPr>
          <w:rFonts w:ascii="Times New Roman" w:hAnsi="Times New Roman"/>
          <w:sz w:val="24"/>
        </w:rPr>
      </w:pPr>
    </w:p>
    <w:p w:rsidR="004F1BA6" w:rsidRPr="00F55A22" w:rsidRDefault="004F1BA6" w:rsidP="001671C5">
      <w:pPr>
        <w:spacing w:line="360" w:lineRule="auto"/>
        <w:ind w:firstLineChars="200" w:firstLine="480"/>
        <w:rPr>
          <w:rFonts w:ascii="Times New Roman" w:hAnsi="Times New Roman"/>
          <w:sz w:val="24"/>
        </w:rPr>
      </w:pPr>
    </w:p>
    <w:p w:rsidR="004F1BA6" w:rsidRPr="00F55A22" w:rsidRDefault="004F1BA6" w:rsidP="001671C5">
      <w:pPr>
        <w:spacing w:line="360" w:lineRule="auto"/>
        <w:ind w:firstLineChars="200" w:firstLine="480"/>
        <w:rPr>
          <w:rFonts w:ascii="Times New Roman" w:hAnsi="Times New Roman"/>
          <w:sz w:val="24"/>
        </w:rPr>
      </w:pPr>
    </w:p>
    <w:p w:rsidR="004F1BA6" w:rsidRPr="00F55A22" w:rsidRDefault="004F1BA6" w:rsidP="00455227">
      <w:pPr>
        <w:spacing w:line="360" w:lineRule="auto"/>
        <w:ind w:firstLineChars="200" w:firstLine="480"/>
        <w:jc w:val="right"/>
        <w:rPr>
          <w:rFonts w:ascii="Times New Roman" w:hAnsi="Times New Roman"/>
          <w:sz w:val="24"/>
        </w:rPr>
      </w:pPr>
      <w:r w:rsidRPr="00F55A22">
        <w:rPr>
          <w:rFonts w:ascii="Times New Roman" w:hAnsi="Times New Roman"/>
          <w:sz w:val="24"/>
        </w:rPr>
        <w:t>渤海水业股份有限公司董事会</w:t>
      </w:r>
    </w:p>
    <w:p w:rsidR="004F1BA6" w:rsidRPr="00F55A22" w:rsidRDefault="004F1BA6" w:rsidP="00BD45FA">
      <w:pPr>
        <w:spacing w:line="360" w:lineRule="auto"/>
        <w:ind w:right="480" w:firstLineChars="200" w:firstLine="480"/>
        <w:jc w:val="right"/>
        <w:rPr>
          <w:rFonts w:ascii="Times New Roman" w:hAnsi="Times New Roman"/>
          <w:sz w:val="24"/>
        </w:rPr>
      </w:pPr>
      <w:r w:rsidRPr="00F55A22">
        <w:rPr>
          <w:rFonts w:ascii="Times New Roman" w:hAnsi="Times New Roman"/>
          <w:sz w:val="24"/>
        </w:rPr>
        <w:t>202</w:t>
      </w:r>
      <w:r w:rsidR="00455227" w:rsidRPr="00F55A22">
        <w:rPr>
          <w:rFonts w:ascii="Times New Roman" w:hAnsi="Times New Roman"/>
          <w:sz w:val="24"/>
        </w:rPr>
        <w:t>4</w:t>
      </w:r>
      <w:r w:rsidRPr="00F55A22">
        <w:rPr>
          <w:rFonts w:ascii="Times New Roman" w:hAnsi="Times New Roman"/>
          <w:sz w:val="24"/>
        </w:rPr>
        <w:t>年</w:t>
      </w:r>
      <w:r w:rsidRPr="00F55A22">
        <w:rPr>
          <w:rFonts w:ascii="Times New Roman" w:hAnsi="Times New Roman"/>
          <w:sz w:val="24"/>
        </w:rPr>
        <w:t>4</w:t>
      </w:r>
      <w:r w:rsidRPr="00F55A22">
        <w:rPr>
          <w:rFonts w:ascii="Times New Roman" w:hAnsi="Times New Roman"/>
          <w:sz w:val="24"/>
        </w:rPr>
        <w:t>月</w:t>
      </w:r>
      <w:r w:rsidR="00F55A22">
        <w:rPr>
          <w:rFonts w:ascii="Times New Roman" w:hAnsi="Times New Roman" w:hint="eastAsia"/>
          <w:sz w:val="24"/>
        </w:rPr>
        <w:t>2</w:t>
      </w:r>
      <w:r w:rsidR="00F55A22">
        <w:rPr>
          <w:rFonts w:ascii="Times New Roman" w:hAnsi="Times New Roman"/>
          <w:sz w:val="24"/>
        </w:rPr>
        <w:t>9</w:t>
      </w:r>
      <w:r w:rsidRPr="00F55A22">
        <w:rPr>
          <w:rFonts w:ascii="Times New Roman" w:hAnsi="Times New Roman"/>
          <w:sz w:val="24"/>
        </w:rPr>
        <w:t>日</w:t>
      </w:r>
    </w:p>
    <w:sectPr w:rsidR="004F1BA6" w:rsidRPr="00F55A22">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94" w:rsidRDefault="00426294">
      <w:r>
        <w:separator/>
      </w:r>
    </w:p>
  </w:endnote>
  <w:endnote w:type="continuationSeparator" w:id="0">
    <w:p w:rsidR="00426294" w:rsidRDefault="0042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A6" w:rsidRDefault="004F1BA6">
    <w:pPr>
      <w:pStyle w:val="a6"/>
      <w:framePr w:wrap="around" w:vAnchor="text" w:hAnchor="margin" w:xAlign="center" w:y="1"/>
      <w:rPr>
        <w:rStyle w:val="a9"/>
      </w:rPr>
    </w:pPr>
    <w:r>
      <w:fldChar w:fldCharType="begin"/>
    </w:r>
    <w:r>
      <w:rPr>
        <w:rStyle w:val="a9"/>
      </w:rPr>
      <w:instrText xml:space="preserve">PAGE  </w:instrText>
    </w:r>
    <w:r>
      <w:fldChar w:fldCharType="end"/>
    </w:r>
  </w:p>
  <w:p w:rsidR="004F1BA6" w:rsidRDefault="004F1B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94" w:rsidRDefault="00426294">
      <w:r>
        <w:separator/>
      </w:r>
    </w:p>
  </w:footnote>
  <w:footnote w:type="continuationSeparator" w:id="0">
    <w:p w:rsidR="00426294" w:rsidRDefault="00426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AC15D"/>
    <w:multiLevelType w:val="singleLevel"/>
    <w:tmpl w:val="F4E815C4"/>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3C"/>
    <w:rsid w:val="00003897"/>
    <w:rsid w:val="000054AE"/>
    <w:rsid w:val="000069E8"/>
    <w:rsid w:val="00006D11"/>
    <w:rsid w:val="00013F64"/>
    <w:rsid w:val="00014EFF"/>
    <w:rsid w:val="00015950"/>
    <w:rsid w:val="0002025D"/>
    <w:rsid w:val="00027927"/>
    <w:rsid w:val="00027D07"/>
    <w:rsid w:val="0003099A"/>
    <w:rsid w:val="000317F8"/>
    <w:rsid w:val="00031FB3"/>
    <w:rsid w:val="000320A9"/>
    <w:rsid w:val="00033560"/>
    <w:rsid w:val="0003487E"/>
    <w:rsid w:val="0003516D"/>
    <w:rsid w:val="00035A30"/>
    <w:rsid w:val="000366B2"/>
    <w:rsid w:val="00040C2B"/>
    <w:rsid w:val="00042B6E"/>
    <w:rsid w:val="000430C5"/>
    <w:rsid w:val="00043C94"/>
    <w:rsid w:val="000455F5"/>
    <w:rsid w:val="000507C4"/>
    <w:rsid w:val="00051709"/>
    <w:rsid w:val="00052D2E"/>
    <w:rsid w:val="0005336B"/>
    <w:rsid w:val="000576BF"/>
    <w:rsid w:val="0005772E"/>
    <w:rsid w:val="00060238"/>
    <w:rsid w:val="000611BE"/>
    <w:rsid w:val="00062477"/>
    <w:rsid w:val="00062EB9"/>
    <w:rsid w:val="000635DD"/>
    <w:rsid w:val="00064804"/>
    <w:rsid w:val="00067D81"/>
    <w:rsid w:val="00072178"/>
    <w:rsid w:val="00072A19"/>
    <w:rsid w:val="00074A36"/>
    <w:rsid w:val="000753BB"/>
    <w:rsid w:val="00077355"/>
    <w:rsid w:val="00077A9F"/>
    <w:rsid w:val="00077F17"/>
    <w:rsid w:val="0008193D"/>
    <w:rsid w:val="000822C5"/>
    <w:rsid w:val="00082E19"/>
    <w:rsid w:val="000861B4"/>
    <w:rsid w:val="00086C98"/>
    <w:rsid w:val="00087EC9"/>
    <w:rsid w:val="00090354"/>
    <w:rsid w:val="000904DA"/>
    <w:rsid w:val="0009086E"/>
    <w:rsid w:val="00094894"/>
    <w:rsid w:val="00097ED6"/>
    <w:rsid w:val="000A0E43"/>
    <w:rsid w:val="000A1238"/>
    <w:rsid w:val="000A2C72"/>
    <w:rsid w:val="000A3DE6"/>
    <w:rsid w:val="000A45B4"/>
    <w:rsid w:val="000A5FE1"/>
    <w:rsid w:val="000B129C"/>
    <w:rsid w:val="000B2AA8"/>
    <w:rsid w:val="000B3FCA"/>
    <w:rsid w:val="000B412D"/>
    <w:rsid w:val="000B6F7F"/>
    <w:rsid w:val="000C10F0"/>
    <w:rsid w:val="000C1818"/>
    <w:rsid w:val="000C1BF8"/>
    <w:rsid w:val="000C1CAB"/>
    <w:rsid w:val="000C6A93"/>
    <w:rsid w:val="000C7FC7"/>
    <w:rsid w:val="000D1670"/>
    <w:rsid w:val="000D1B14"/>
    <w:rsid w:val="000D4632"/>
    <w:rsid w:val="000D7DC6"/>
    <w:rsid w:val="000E799E"/>
    <w:rsid w:val="000F0D68"/>
    <w:rsid w:val="000F5300"/>
    <w:rsid w:val="000F65AD"/>
    <w:rsid w:val="001027FE"/>
    <w:rsid w:val="001038A3"/>
    <w:rsid w:val="0010469D"/>
    <w:rsid w:val="00104DAA"/>
    <w:rsid w:val="00105BFD"/>
    <w:rsid w:val="001078C2"/>
    <w:rsid w:val="0011032C"/>
    <w:rsid w:val="00112BF7"/>
    <w:rsid w:val="00112F22"/>
    <w:rsid w:val="00114EE5"/>
    <w:rsid w:val="0011522B"/>
    <w:rsid w:val="001216A9"/>
    <w:rsid w:val="001216D7"/>
    <w:rsid w:val="00122C0E"/>
    <w:rsid w:val="0012706A"/>
    <w:rsid w:val="00127587"/>
    <w:rsid w:val="001303CB"/>
    <w:rsid w:val="00133CB7"/>
    <w:rsid w:val="00134142"/>
    <w:rsid w:val="00136600"/>
    <w:rsid w:val="00136AE0"/>
    <w:rsid w:val="00137D2D"/>
    <w:rsid w:val="00140931"/>
    <w:rsid w:val="001409F9"/>
    <w:rsid w:val="001420A7"/>
    <w:rsid w:val="001447A0"/>
    <w:rsid w:val="001461EE"/>
    <w:rsid w:val="001502D3"/>
    <w:rsid w:val="00151A7A"/>
    <w:rsid w:val="001528E3"/>
    <w:rsid w:val="00155473"/>
    <w:rsid w:val="001602EF"/>
    <w:rsid w:val="00160637"/>
    <w:rsid w:val="001671C5"/>
    <w:rsid w:val="00172348"/>
    <w:rsid w:val="00172963"/>
    <w:rsid w:val="00173364"/>
    <w:rsid w:val="001735B6"/>
    <w:rsid w:val="0017464F"/>
    <w:rsid w:val="00180817"/>
    <w:rsid w:val="00182018"/>
    <w:rsid w:val="00185832"/>
    <w:rsid w:val="00187D20"/>
    <w:rsid w:val="001900A6"/>
    <w:rsid w:val="001976D2"/>
    <w:rsid w:val="00197FE5"/>
    <w:rsid w:val="001A03CD"/>
    <w:rsid w:val="001A3235"/>
    <w:rsid w:val="001A3CC8"/>
    <w:rsid w:val="001A3FD9"/>
    <w:rsid w:val="001A5F88"/>
    <w:rsid w:val="001A7484"/>
    <w:rsid w:val="001B0D27"/>
    <w:rsid w:val="001B7414"/>
    <w:rsid w:val="001C41AE"/>
    <w:rsid w:val="001C6778"/>
    <w:rsid w:val="001C6F4C"/>
    <w:rsid w:val="001C722A"/>
    <w:rsid w:val="001D0939"/>
    <w:rsid w:val="001D0C4A"/>
    <w:rsid w:val="001D217A"/>
    <w:rsid w:val="001D53E1"/>
    <w:rsid w:val="001D6B4E"/>
    <w:rsid w:val="001D6D4C"/>
    <w:rsid w:val="001E0750"/>
    <w:rsid w:val="001E26F7"/>
    <w:rsid w:val="001E2DBD"/>
    <w:rsid w:val="001E75F3"/>
    <w:rsid w:val="001F2AC9"/>
    <w:rsid w:val="001F2B02"/>
    <w:rsid w:val="001F4CEE"/>
    <w:rsid w:val="001F4D65"/>
    <w:rsid w:val="001F57F3"/>
    <w:rsid w:val="00202EAF"/>
    <w:rsid w:val="00205C41"/>
    <w:rsid w:val="00207625"/>
    <w:rsid w:val="00215163"/>
    <w:rsid w:val="00215D81"/>
    <w:rsid w:val="002219F5"/>
    <w:rsid w:val="0022711A"/>
    <w:rsid w:val="00227F21"/>
    <w:rsid w:val="0023359D"/>
    <w:rsid w:val="00233A89"/>
    <w:rsid w:val="00233E85"/>
    <w:rsid w:val="00235062"/>
    <w:rsid w:val="002366DF"/>
    <w:rsid w:val="002411F4"/>
    <w:rsid w:val="0024151C"/>
    <w:rsid w:val="00241A00"/>
    <w:rsid w:val="00246DA0"/>
    <w:rsid w:val="002475A4"/>
    <w:rsid w:val="00254009"/>
    <w:rsid w:val="002544B9"/>
    <w:rsid w:val="00256ED9"/>
    <w:rsid w:val="0026090B"/>
    <w:rsid w:val="00265776"/>
    <w:rsid w:val="002725A3"/>
    <w:rsid w:val="00272C3A"/>
    <w:rsid w:val="00274683"/>
    <w:rsid w:val="00274BB1"/>
    <w:rsid w:val="00274E36"/>
    <w:rsid w:val="002757E6"/>
    <w:rsid w:val="00276CF8"/>
    <w:rsid w:val="0028431F"/>
    <w:rsid w:val="0028456F"/>
    <w:rsid w:val="00284BE8"/>
    <w:rsid w:val="00286F9B"/>
    <w:rsid w:val="0029267E"/>
    <w:rsid w:val="002932BB"/>
    <w:rsid w:val="00293B9B"/>
    <w:rsid w:val="00294EDD"/>
    <w:rsid w:val="0029500E"/>
    <w:rsid w:val="00297EC7"/>
    <w:rsid w:val="002A0FC1"/>
    <w:rsid w:val="002A2427"/>
    <w:rsid w:val="002A2728"/>
    <w:rsid w:val="002A35FF"/>
    <w:rsid w:val="002A4FA1"/>
    <w:rsid w:val="002A598C"/>
    <w:rsid w:val="002B2867"/>
    <w:rsid w:val="002B2B56"/>
    <w:rsid w:val="002B5A2B"/>
    <w:rsid w:val="002B5DE8"/>
    <w:rsid w:val="002B6CEF"/>
    <w:rsid w:val="002C09E4"/>
    <w:rsid w:val="002C206B"/>
    <w:rsid w:val="002C260F"/>
    <w:rsid w:val="002C6D52"/>
    <w:rsid w:val="002C7B26"/>
    <w:rsid w:val="002D06CA"/>
    <w:rsid w:val="002D3039"/>
    <w:rsid w:val="002D4F86"/>
    <w:rsid w:val="002D660E"/>
    <w:rsid w:val="002D7381"/>
    <w:rsid w:val="002E2EB5"/>
    <w:rsid w:val="002F0860"/>
    <w:rsid w:val="002F13BA"/>
    <w:rsid w:val="002F3F40"/>
    <w:rsid w:val="002F5F16"/>
    <w:rsid w:val="002F6C2E"/>
    <w:rsid w:val="003005E7"/>
    <w:rsid w:val="00301A7A"/>
    <w:rsid w:val="00302E75"/>
    <w:rsid w:val="0031151C"/>
    <w:rsid w:val="003137ED"/>
    <w:rsid w:val="00315226"/>
    <w:rsid w:val="003165CF"/>
    <w:rsid w:val="003172C5"/>
    <w:rsid w:val="00320F79"/>
    <w:rsid w:val="003233EC"/>
    <w:rsid w:val="00323D2E"/>
    <w:rsid w:val="003269F6"/>
    <w:rsid w:val="00331009"/>
    <w:rsid w:val="003318F6"/>
    <w:rsid w:val="0033297E"/>
    <w:rsid w:val="00333802"/>
    <w:rsid w:val="00334282"/>
    <w:rsid w:val="0033458C"/>
    <w:rsid w:val="0033525D"/>
    <w:rsid w:val="00336A51"/>
    <w:rsid w:val="003375F4"/>
    <w:rsid w:val="00340BDF"/>
    <w:rsid w:val="00342F13"/>
    <w:rsid w:val="00350DDC"/>
    <w:rsid w:val="00351360"/>
    <w:rsid w:val="00352005"/>
    <w:rsid w:val="003523FA"/>
    <w:rsid w:val="003526C0"/>
    <w:rsid w:val="00353525"/>
    <w:rsid w:val="00354D95"/>
    <w:rsid w:val="0035564D"/>
    <w:rsid w:val="00357609"/>
    <w:rsid w:val="003615CA"/>
    <w:rsid w:val="003631D5"/>
    <w:rsid w:val="003654D1"/>
    <w:rsid w:val="0036570E"/>
    <w:rsid w:val="00367C0D"/>
    <w:rsid w:val="00367ECC"/>
    <w:rsid w:val="00373A86"/>
    <w:rsid w:val="00374200"/>
    <w:rsid w:val="00374635"/>
    <w:rsid w:val="0037478B"/>
    <w:rsid w:val="0037548F"/>
    <w:rsid w:val="00375BC3"/>
    <w:rsid w:val="00375C6E"/>
    <w:rsid w:val="003773CB"/>
    <w:rsid w:val="00377F6C"/>
    <w:rsid w:val="00377F70"/>
    <w:rsid w:val="00386020"/>
    <w:rsid w:val="00387A06"/>
    <w:rsid w:val="00393107"/>
    <w:rsid w:val="0039472F"/>
    <w:rsid w:val="00394B45"/>
    <w:rsid w:val="00395DA9"/>
    <w:rsid w:val="00397329"/>
    <w:rsid w:val="00397AE8"/>
    <w:rsid w:val="003A36C0"/>
    <w:rsid w:val="003A6AF5"/>
    <w:rsid w:val="003A7A32"/>
    <w:rsid w:val="003A7B70"/>
    <w:rsid w:val="003A7C25"/>
    <w:rsid w:val="003B3FCD"/>
    <w:rsid w:val="003B429B"/>
    <w:rsid w:val="003C0F63"/>
    <w:rsid w:val="003C18BC"/>
    <w:rsid w:val="003C2456"/>
    <w:rsid w:val="003C2A24"/>
    <w:rsid w:val="003C3ADA"/>
    <w:rsid w:val="003C3F10"/>
    <w:rsid w:val="003C5248"/>
    <w:rsid w:val="003D2738"/>
    <w:rsid w:val="003D27FF"/>
    <w:rsid w:val="003D3DB1"/>
    <w:rsid w:val="003D4B7B"/>
    <w:rsid w:val="003D5263"/>
    <w:rsid w:val="003D5B60"/>
    <w:rsid w:val="003D60DC"/>
    <w:rsid w:val="003D62FA"/>
    <w:rsid w:val="003E06C7"/>
    <w:rsid w:val="003E1754"/>
    <w:rsid w:val="003E2597"/>
    <w:rsid w:val="003E7463"/>
    <w:rsid w:val="003F1418"/>
    <w:rsid w:val="003F22D4"/>
    <w:rsid w:val="003F3F3D"/>
    <w:rsid w:val="003F4D84"/>
    <w:rsid w:val="00400455"/>
    <w:rsid w:val="004010C8"/>
    <w:rsid w:val="00403F34"/>
    <w:rsid w:val="004041C6"/>
    <w:rsid w:val="00404AA2"/>
    <w:rsid w:val="004064B8"/>
    <w:rsid w:val="00412947"/>
    <w:rsid w:val="004138F9"/>
    <w:rsid w:val="00415EAC"/>
    <w:rsid w:val="004202AD"/>
    <w:rsid w:val="00420C20"/>
    <w:rsid w:val="00421DBD"/>
    <w:rsid w:val="004230BF"/>
    <w:rsid w:val="00426294"/>
    <w:rsid w:val="00426D9B"/>
    <w:rsid w:val="0043048A"/>
    <w:rsid w:val="00433B3C"/>
    <w:rsid w:val="00436CF1"/>
    <w:rsid w:val="00446F30"/>
    <w:rsid w:val="00455227"/>
    <w:rsid w:val="00455D4C"/>
    <w:rsid w:val="0046399B"/>
    <w:rsid w:val="00470000"/>
    <w:rsid w:val="004717F9"/>
    <w:rsid w:val="004738EE"/>
    <w:rsid w:val="004743A9"/>
    <w:rsid w:val="004777A7"/>
    <w:rsid w:val="00480606"/>
    <w:rsid w:val="00484786"/>
    <w:rsid w:val="00484E4C"/>
    <w:rsid w:val="00490346"/>
    <w:rsid w:val="00491C2B"/>
    <w:rsid w:val="004926AE"/>
    <w:rsid w:val="004952DA"/>
    <w:rsid w:val="0049724A"/>
    <w:rsid w:val="00497E5E"/>
    <w:rsid w:val="004A07CC"/>
    <w:rsid w:val="004A22DC"/>
    <w:rsid w:val="004A2FCF"/>
    <w:rsid w:val="004A3CAB"/>
    <w:rsid w:val="004A4E9A"/>
    <w:rsid w:val="004A6D69"/>
    <w:rsid w:val="004A71E4"/>
    <w:rsid w:val="004B05CD"/>
    <w:rsid w:val="004B23EF"/>
    <w:rsid w:val="004B281B"/>
    <w:rsid w:val="004B3254"/>
    <w:rsid w:val="004B371F"/>
    <w:rsid w:val="004B680B"/>
    <w:rsid w:val="004B7582"/>
    <w:rsid w:val="004C3676"/>
    <w:rsid w:val="004D0D50"/>
    <w:rsid w:val="004D7905"/>
    <w:rsid w:val="004D7E94"/>
    <w:rsid w:val="004E3506"/>
    <w:rsid w:val="004E5EE0"/>
    <w:rsid w:val="004E66A4"/>
    <w:rsid w:val="004E78A5"/>
    <w:rsid w:val="004F0657"/>
    <w:rsid w:val="004F1BA6"/>
    <w:rsid w:val="004F2773"/>
    <w:rsid w:val="004F3624"/>
    <w:rsid w:val="004F6882"/>
    <w:rsid w:val="005007A7"/>
    <w:rsid w:val="00502237"/>
    <w:rsid w:val="00502264"/>
    <w:rsid w:val="00502B3E"/>
    <w:rsid w:val="00503873"/>
    <w:rsid w:val="00506CF9"/>
    <w:rsid w:val="005137A8"/>
    <w:rsid w:val="00513D57"/>
    <w:rsid w:val="00517A4F"/>
    <w:rsid w:val="00517DE4"/>
    <w:rsid w:val="0052109E"/>
    <w:rsid w:val="005243AC"/>
    <w:rsid w:val="00524DC5"/>
    <w:rsid w:val="0052661D"/>
    <w:rsid w:val="005275F3"/>
    <w:rsid w:val="0053117F"/>
    <w:rsid w:val="00531ADD"/>
    <w:rsid w:val="00532D19"/>
    <w:rsid w:val="00534BAD"/>
    <w:rsid w:val="00535779"/>
    <w:rsid w:val="00536CFA"/>
    <w:rsid w:val="005379BB"/>
    <w:rsid w:val="005406E4"/>
    <w:rsid w:val="005407F5"/>
    <w:rsid w:val="00541511"/>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33FF"/>
    <w:rsid w:val="005637BA"/>
    <w:rsid w:val="0056720A"/>
    <w:rsid w:val="0057074C"/>
    <w:rsid w:val="00571572"/>
    <w:rsid w:val="00575FFB"/>
    <w:rsid w:val="0057710E"/>
    <w:rsid w:val="00577F8B"/>
    <w:rsid w:val="00580861"/>
    <w:rsid w:val="005813E3"/>
    <w:rsid w:val="00581E12"/>
    <w:rsid w:val="0058207A"/>
    <w:rsid w:val="005846DD"/>
    <w:rsid w:val="005902B3"/>
    <w:rsid w:val="00597F65"/>
    <w:rsid w:val="005A3340"/>
    <w:rsid w:val="005A794F"/>
    <w:rsid w:val="005B1376"/>
    <w:rsid w:val="005B55E1"/>
    <w:rsid w:val="005B5BE7"/>
    <w:rsid w:val="005B65C5"/>
    <w:rsid w:val="005B69E2"/>
    <w:rsid w:val="005B7349"/>
    <w:rsid w:val="005C01F4"/>
    <w:rsid w:val="005C0381"/>
    <w:rsid w:val="005C0635"/>
    <w:rsid w:val="005C0EBA"/>
    <w:rsid w:val="005C1B9E"/>
    <w:rsid w:val="005C2A0D"/>
    <w:rsid w:val="005C2F66"/>
    <w:rsid w:val="005C314E"/>
    <w:rsid w:val="005C4E99"/>
    <w:rsid w:val="005C5EA9"/>
    <w:rsid w:val="005C6DAE"/>
    <w:rsid w:val="005D03A3"/>
    <w:rsid w:val="005D2191"/>
    <w:rsid w:val="005D5D6A"/>
    <w:rsid w:val="005D7625"/>
    <w:rsid w:val="005E0E76"/>
    <w:rsid w:val="005E155F"/>
    <w:rsid w:val="005E3407"/>
    <w:rsid w:val="005E41DF"/>
    <w:rsid w:val="005E428E"/>
    <w:rsid w:val="005E74EF"/>
    <w:rsid w:val="005F360B"/>
    <w:rsid w:val="005F383B"/>
    <w:rsid w:val="005F7106"/>
    <w:rsid w:val="00603CC5"/>
    <w:rsid w:val="0060416E"/>
    <w:rsid w:val="006051C5"/>
    <w:rsid w:val="0060586A"/>
    <w:rsid w:val="00605E09"/>
    <w:rsid w:val="006120EF"/>
    <w:rsid w:val="00614CCF"/>
    <w:rsid w:val="0061791F"/>
    <w:rsid w:val="00622FF2"/>
    <w:rsid w:val="006232C0"/>
    <w:rsid w:val="006232EC"/>
    <w:rsid w:val="00623C52"/>
    <w:rsid w:val="00624A59"/>
    <w:rsid w:val="00627691"/>
    <w:rsid w:val="0063355C"/>
    <w:rsid w:val="00633878"/>
    <w:rsid w:val="00634B92"/>
    <w:rsid w:val="00636678"/>
    <w:rsid w:val="00636FD8"/>
    <w:rsid w:val="006431E5"/>
    <w:rsid w:val="006465B9"/>
    <w:rsid w:val="00650516"/>
    <w:rsid w:val="006507B7"/>
    <w:rsid w:val="00651330"/>
    <w:rsid w:val="00652192"/>
    <w:rsid w:val="0065272E"/>
    <w:rsid w:val="006528BE"/>
    <w:rsid w:val="006575A3"/>
    <w:rsid w:val="00657D5A"/>
    <w:rsid w:val="006611E2"/>
    <w:rsid w:val="00667153"/>
    <w:rsid w:val="00667534"/>
    <w:rsid w:val="006719F6"/>
    <w:rsid w:val="00680509"/>
    <w:rsid w:val="00681886"/>
    <w:rsid w:val="00682213"/>
    <w:rsid w:val="006869D6"/>
    <w:rsid w:val="0069692C"/>
    <w:rsid w:val="006A16E5"/>
    <w:rsid w:val="006A2AC1"/>
    <w:rsid w:val="006A37EC"/>
    <w:rsid w:val="006B11BC"/>
    <w:rsid w:val="006B19F6"/>
    <w:rsid w:val="006B232F"/>
    <w:rsid w:val="006B23AE"/>
    <w:rsid w:val="006B2BBE"/>
    <w:rsid w:val="006B3E64"/>
    <w:rsid w:val="006B5215"/>
    <w:rsid w:val="006C585E"/>
    <w:rsid w:val="006C5DE4"/>
    <w:rsid w:val="006D0E79"/>
    <w:rsid w:val="006D2064"/>
    <w:rsid w:val="006D262D"/>
    <w:rsid w:val="006D3DC3"/>
    <w:rsid w:val="006D4869"/>
    <w:rsid w:val="006D4D8D"/>
    <w:rsid w:val="006D59A7"/>
    <w:rsid w:val="006E14CF"/>
    <w:rsid w:val="006E2FCA"/>
    <w:rsid w:val="006E37A7"/>
    <w:rsid w:val="006E4540"/>
    <w:rsid w:val="006F6611"/>
    <w:rsid w:val="007026F8"/>
    <w:rsid w:val="00703009"/>
    <w:rsid w:val="0070325B"/>
    <w:rsid w:val="0070371E"/>
    <w:rsid w:val="00704A0F"/>
    <w:rsid w:val="00705061"/>
    <w:rsid w:val="00705BD3"/>
    <w:rsid w:val="00707A0A"/>
    <w:rsid w:val="00712C42"/>
    <w:rsid w:val="00713323"/>
    <w:rsid w:val="0071371A"/>
    <w:rsid w:val="00713966"/>
    <w:rsid w:val="0071451C"/>
    <w:rsid w:val="00714B05"/>
    <w:rsid w:val="0071664E"/>
    <w:rsid w:val="00717BEF"/>
    <w:rsid w:val="00720AF4"/>
    <w:rsid w:val="007231B0"/>
    <w:rsid w:val="007249F4"/>
    <w:rsid w:val="00726D4A"/>
    <w:rsid w:val="00727353"/>
    <w:rsid w:val="00731945"/>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57115"/>
    <w:rsid w:val="007626EB"/>
    <w:rsid w:val="00763392"/>
    <w:rsid w:val="007677C4"/>
    <w:rsid w:val="0077186B"/>
    <w:rsid w:val="007721E0"/>
    <w:rsid w:val="00774B3F"/>
    <w:rsid w:val="0077740C"/>
    <w:rsid w:val="00780C25"/>
    <w:rsid w:val="007810FC"/>
    <w:rsid w:val="00782507"/>
    <w:rsid w:val="0079155B"/>
    <w:rsid w:val="00791B20"/>
    <w:rsid w:val="0079555C"/>
    <w:rsid w:val="00795777"/>
    <w:rsid w:val="00795A98"/>
    <w:rsid w:val="007A11C0"/>
    <w:rsid w:val="007A15FF"/>
    <w:rsid w:val="007A2726"/>
    <w:rsid w:val="007A69C3"/>
    <w:rsid w:val="007B03CF"/>
    <w:rsid w:val="007B0A92"/>
    <w:rsid w:val="007B1F75"/>
    <w:rsid w:val="007B4071"/>
    <w:rsid w:val="007B5ACE"/>
    <w:rsid w:val="007B67B0"/>
    <w:rsid w:val="007C0DEE"/>
    <w:rsid w:val="007C29C8"/>
    <w:rsid w:val="007C398E"/>
    <w:rsid w:val="007C3EA5"/>
    <w:rsid w:val="007C4D2C"/>
    <w:rsid w:val="007C7B8D"/>
    <w:rsid w:val="007D0B46"/>
    <w:rsid w:val="007D16CD"/>
    <w:rsid w:val="007D4429"/>
    <w:rsid w:val="007D5F80"/>
    <w:rsid w:val="007D6BA7"/>
    <w:rsid w:val="007E0AA6"/>
    <w:rsid w:val="007E140F"/>
    <w:rsid w:val="007E5B18"/>
    <w:rsid w:val="007E6968"/>
    <w:rsid w:val="007E711F"/>
    <w:rsid w:val="007E797A"/>
    <w:rsid w:val="007F11C3"/>
    <w:rsid w:val="007F1A1D"/>
    <w:rsid w:val="007F4E7D"/>
    <w:rsid w:val="007F7B4C"/>
    <w:rsid w:val="008023A5"/>
    <w:rsid w:val="00803398"/>
    <w:rsid w:val="00810526"/>
    <w:rsid w:val="00810A53"/>
    <w:rsid w:val="008117E2"/>
    <w:rsid w:val="008123ED"/>
    <w:rsid w:val="00817394"/>
    <w:rsid w:val="008175A0"/>
    <w:rsid w:val="008229F8"/>
    <w:rsid w:val="00823C87"/>
    <w:rsid w:val="00824654"/>
    <w:rsid w:val="00830239"/>
    <w:rsid w:val="00830C80"/>
    <w:rsid w:val="00831325"/>
    <w:rsid w:val="0083189F"/>
    <w:rsid w:val="00831BA6"/>
    <w:rsid w:val="008321F7"/>
    <w:rsid w:val="00833005"/>
    <w:rsid w:val="008332EB"/>
    <w:rsid w:val="00833C37"/>
    <w:rsid w:val="00833EE5"/>
    <w:rsid w:val="00834801"/>
    <w:rsid w:val="00834C21"/>
    <w:rsid w:val="008355E9"/>
    <w:rsid w:val="00841E50"/>
    <w:rsid w:val="0084307C"/>
    <w:rsid w:val="00844240"/>
    <w:rsid w:val="00846D9A"/>
    <w:rsid w:val="00847527"/>
    <w:rsid w:val="008525EC"/>
    <w:rsid w:val="00854450"/>
    <w:rsid w:val="008549B0"/>
    <w:rsid w:val="00854DE9"/>
    <w:rsid w:val="00856904"/>
    <w:rsid w:val="00861B7B"/>
    <w:rsid w:val="008647A2"/>
    <w:rsid w:val="00866250"/>
    <w:rsid w:val="00871D87"/>
    <w:rsid w:val="00872ADB"/>
    <w:rsid w:val="008735B7"/>
    <w:rsid w:val="0087646E"/>
    <w:rsid w:val="0088149F"/>
    <w:rsid w:val="00881583"/>
    <w:rsid w:val="00882B8D"/>
    <w:rsid w:val="0088494F"/>
    <w:rsid w:val="00884E95"/>
    <w:rsid w:val="00887367"/>
    <w:rsid w:val="00887D7A"/>
    <w:rsid w:val="008911BF"/>
    <w:rsid w:val="00893E6A"/>
    <w:rsid w:val="0089466C"/>
    <w:rsid w:val="00895FE0"/>
    <w:rsid w:val="0089631C"/>
    <w:rsid w:val="00896D20"/>
    <w:rsid w:val="008971B2"/>
    <w:rsid w:val="008A1952"/>
    <w:rsid w:val="008A2521"/>
    <w:rsid w:val="008A5DF2"/>
    <w:rsid w:val="008A5F4D"/>
    <w:rsid w:val="008B5F16"/>
    <w:rsid w:val="008B665B"/>
    <w:rsid w:val="008C0A89"/>
    <w:rsid w:val="008C25FD"/>
    <w:rsid w:val="008C2651"/>
    <w:rsid w:val="008C2747"/>
    <w:rsid w:val="008C2820"/>
    <w:rsid w:val="008C3A2B"/>
    <w:rsid w:val="008C3D29"/>
    <w:rsid w:val="008C4C9A"/>
    <w:rsid w:val="008D200E"/>
    <w:rsid w:val="008D279A"/>
    <w:rsid w:val="008D27C7"/>
    <w:rsid w:val="008D367D"/>
    <w:rsid w:val="008D4C5A"/>
    <w:rsid w:val="008D7636"/>
    <w:rsid w:val="008D779C"/>
    <w:rsid w:val="008E199C"/>
    <w:rsid w:val="008E2276"/>
    <w:rsid w:val="008E4E64"/>
    <w:rsid w:val="008E75FA"/>
    <w:rsid w:val="008F3FC7"/>
    <w:rsid w:val="008F5E92"/>
    <w:rsid w:val="008F6A53"/>
    <w:rsid w:val="00900C83"/>
    <w:rsid w:val="00901DD7"/>
    <w:rsid w:val="00905CF5"/>
    <w:rsid w:val="00906B25"/>
    <w:rsid w:val="00907AEE"/>
    <w:rsid w:val="009153BF"/>
    <w:rsid w:val="00916257"/>
    <w:rsid w:val="0091783C"/>
    <w:rsid w:val="00930897"/>
    <w:rsid w:val="00930AB8"/>
    <w:rsid w:val="009347D0"/>
    <w:rsid w:val="00934964"/>
    <w:rsid w:val="00934CD8"/>
    <w:rsid w:val="0093621C"/>
    <w:rsid w:val="00937F91"/>
    <w:rsid w:val="00941CC7"/>
    <w:rsid w:val="00943763"/>
    <w:rsid w:val="009439BD"/>
    <w:rsid w:val="00944B89"/>
    <w:rsid w:val="00945F11"/>
    <w:rsid w:val="009521E4"/>
    <w:rsid w:val="00952445"/>
    <w:rsid w:val="00953238"/>
    <w:rsid w:val="009578C1"/>
    <w:rsid w:val="00965BAD"/>
    <w:rsid w:val="0096712F"/>
    <w:rsid w:val="00970CB3"/>
    <w:rsid w:val="009729FF"/>
    <w:rsid w:val="00972CA7"/>
    <w:rsid w:val="009732E3"/>
    <w:rsid w:val="0097422D"/>
    <w:rsid w:val="009754D2"/>
    <w:rsid w:val="00976E2F"/>
    <w:rsid w:val="00976FB3"/>
    <w:rsid w:val="00977A7B"/>
    <w:rsid w:val="009829D4"/>
    <w:rsid w:val="009832C8"/>
    <w:rsid w:val="00983CFA"/>
    <w:rsid w:val="00985C16"/>
    <w:rsid w:val="0099526C"/>
    <w:rsid w:val="009A0DE8"/>
    <w:rsid w:val="009A2FA5"/>
    <w:rsid w:val="009A30C1"/>
    <w:rsid w:val="009A3599"/>
    <w:rsid w:val="009A39F8"/>
    <w:rsid w:val="009A4ADB"/>
    <w:rsid w:val="009A6171"/>
    <w:rsid w:val="009B1932"/>
    <w:rsid w:val="009B1EE2"/>
    <w:rsid w:val="009B2AAC"/>
    <w:rsid w:val="009B4A45"/>
    <w:rsid w:val="009B4C93"/>
    <w:rsid w:val="009B5EB6"/>
    <w:rsid w:val="009C0904"/>
    <w:rsid w:val="009C1930"/>
    <w:rsid w:val="009C1FB7"/>
    <w:rsid w:val="009C2242"/>
    <w:rsid w:val="009C2944"/>
    <w:rsid w:val="009C4B13"/>
    <w:rsid w:val="009C7641"/>
    <w:rsid w:val="009C7F2D"/>
    <w:rsid w:val="009D07DE"/>
    <w:rsid w:val="009D1D54"/>
    <w:rsid w:val="009D2453"/>
    <w:rsid w:val="009D2C7F"/>
    <w:rsid w:val="009D5231"/>
    <w:rsid w:val="009D53F7"/>
    <w:rsid w:val="009D68E7"/>
    <w:rsid w:val="009E051C"/>
    <w:rsid w:val="009E1656"/>
    <w:rsid w:val="009E5522"/>
    <w:rsid w:val="009F1A3D"/>
    <w:rsid w:val="009F2621"/>
    <w:rsid w:val="009F27EE"/>
    <w:rsid w:val="009F46BD"/>
    <w:rsid w:val="009F597F"/>
    <w:rsid w:val="009F752D"/>
    <w:rsid w:val="00A01B7C"/>
    <w:rsid w:val="00A06F84"/>
    <w:rsid w:val="00A10AB6"/>
    <w:rsid w:val="00A12508"/>
    <w:rsid w:val="00A12D6E"/>
    <w:rsid w:val="00A15129"/>
    <w:rsid w:val="00A16C16"/>
    <w:rsid w:val="00A20C81"/>
    <w:rsid w:val="00A211DF"/>
    <w:rsid w:val="00A2300F"/>
    <w:rsid w:val="00A23757"/>
    <w:rsid w:val="00A23B79"/>
    <w:rsid w:val="00A251FB"/>
    <w:rsid w:val="00A2558A"/>
    <w:rsid w:val="00A25927"/>
    <w:rsid w:val="00A27D31"/>
    <w:rsid w:val="00A31A23"/>
    <w:rsid w:val="00A33A96"/>
    <w:rsid w:val="00A349DC"/>
    <w:rsid w:val="00A358BB"/>
    <w:rsid w:val="00A369D3"/>
    <w:rsid w:val="00A4022C"/>
    <w:rsid w:val="00A402D2"/>
    <w:rsid w:val="00A40C63"/>
    <w:rsid w:val="00A41E8B"/>
    <w:rsid w:val="00A42501"/>
    <w:rsid w:val="00A51C3A"/>
    <w:rsid w:val="00A53757"/>
    <w:rsid w:val="00A53F08"/>
    <w:rsid w:val="00A61FA1"/>
    <w:rsid w:val="00A6451F"/>
    <w:rsid w:val="00A67D92"/>
    <w:rsid w:val="00A74093"/>
    <w:rsid w:val="00A75CE1"/>
    <w:rsid w:val="00A76375"/>
    <w:rsid w:val="00A77A64"/>
    <w:rsid w:val="00A8269C"/>
    <w:rsid w:val="00A836AC"/>
    <w:rsid w:val="00A86766"/>
    <w:rsid w:val="00A90A5D"/>
    <w:rsid w:val="00A91C90"/>
    <w:rsid w:val="00AA0D8C"/>
    <w:rsid w:val="00AA29B5"/>
    <w:rsid w:val="00AA3136"/>
    <w:rsid w:val="00AA441E"/>
    <w:rsid w:val="00AA52D8"/>
    <w:rsid w:val="00AA5760"/>
    <w:rsid w:val="00AA7697"/>
    <w:rsid w:val="00AA7AC1"/>
    <w:rsid w:val="00AB3F33"/>
    <w:rsid w:val="00AB6735"/>
    <w:rsid w:val="00AB708B"/>
    <w:rsid w:val="00AB7913"/>
    <w:rsid w:val="00AC25FE"/>
    <w:rsid w:val="00AC2E4B"/>
    <w:rsid w:val="00AC4079"/>
    <w:rsid w:val="00AC4612"/>
    <w:rsid w:val="00AC536E"/>
    <w:rsid w:val="00AC569F"/>
    <w:rsid w:val="00AC5EB4"/>
    <w:rsid w:val="00AD167D"/>
    <w:rsid w:val="00AD20B7"/>
    <w:rsid w:val="00AD4DEE"/>
    <w:rsid w:val="00AD715C"/>
    <w:rsid w:val="00AD7324"/>
    <w:rsid w:val="00AE2142"/>
    <w:rsid w:val="00AE5E41"/>
    <w:rsid w:val="00AE6E20"/>
    <w:rsid w:val="00AE6FBE"/>
    <w:rsid w:val="00AF0796"/>
    <w:rsid w:val="00AF0DE6"/>
    <w:rsid w:val="00AF32F7"/>
    <w:rsid w:val="00AF377B"/>
    <w:rsid w:val="00AF5B86"/>
    <w:rsid w:val="00AF7B36"/>
    <w:rsid w:val="00B00CA1"/>
    <w:rsid w:val="00B117B1"/>
    <w:rsid w:val="00B1324A"/>
    <w:rsid w:val="00B1439B"/>
    <w:rsid w:val="00B152EC"/>
    <w:rsid w:val="00B17A25"/>
    <w:rsid w:val="00B17B8B"/>
    <w:rsid w:val="00B25E8C"/>
    <w:rsid w:val="00B26295"/>
    <w:rsid w:val="00B2722A"/>
    <w:rsid w:val="00B30EDA"/>
    <w:rsid w:val="00B32E0D"/>
    <w:rsid w:val="00B360EB"/>
    <w:rsid w:val="00B363C5"/>
    <w:rsid w:val="00B37A86"/>
    <w:rsid w:val="00B41AC3"/>
    <w:rsid w:val="00B43D09"/>
    <w:rsid w:val="00B44A76"/>
    <w:rsid w:val="00B45D28"/>
    <w:rsid w:val="00B465FF"/>
    <w:rsid w:val="00B47470"/>
    <w:rsid w:val="00B51AFA"/>
    <w:rsid w:val="00B51C0F"/>
    <w:rsid w:val="00B55A5D"/>
    <w:rsid w:val="00B6175B"/>
    <w:rsid w:val="00B63812"/>
    <w:rsid w:val="00B678DB"/>
    <w:rsid w:val="00B67EDC"/>
    <w:rsid w:val="00B70DB3"/>
    <w:rsid w:val="00B71143"/>
    <w:rsid w:val="00B726D7"/>
    <w:rsid w:val="00B73ED4"/>
    <w:rsid w:val="00B74244"/>
    <w:rsid w:val="00B7623A"/>
    <w:rsid w:val="00B76CB6"/>
    <w:rsid w:val="00B8004B"/>
    <w:rsid w:val="00B812F5"/>
    <w:rsid w:val="00B846A0"/>
    <w:rsid w:val="00B869F9"/>
    <w:rsid w:val="00B91993"/>
    <w:rsid w:val="00B91A07"/>
    <w:rsid w:val="00B9211A"/>
    <w:rsid w:val="00B929CE"/>
    <w:rsid w:val="00BA0BCF"/>
    <w:rsid w:val="00BA1C13"/>
    <w:rsid w:val="00BA5A51"/>
    <w:rsid w:val="00BB168A"/>
    <w:rsid w:val="00BB35DE"/>
    <w:rsid w:val="00BB677D"/>
    <w:rsid w:val="00BC1B5B"/>
    <w:rsid w:val="00BC37BD"/>
    <w:rsid w:val="00BC3969"/>
    <w:rsid w:val="00BC4A70"/>
    <w:rsid w:val="00BD29FB"/>
    <w:rsid w:val="00BD301D"/>
    <w:rsid w:val="00BD45FA"/>
    <w:rsid w:val="00BD56A3"/>
    <w:rsid w:val="00BD59A4"/>
    <w:rsid w:val="00BD6306"/>
    <w:rsid w:val="00BD68F3"/>
    <w:rsid w:val="00BE0468"/>
    <w:rsid w:val="00BE05C9"/>
    <w:rsid w:val="00BE39FD"/>
    <w:rsid w:val="00BE79B4"/>
    <w:rsid w:val="00BF031F"/>
    <w:rsid w:val="00BF2A05"/>
    <w:rsid w:val="00BF3ABF"/>
    <w:rsid w:val="00BF4918"/>
    <w:rsid w:val="00BF64E7"/>
    <w:rsid w:val="00BF7FC5"/>
    <w:rsid w:val="00C0267C"/>
    <w:rsid w:val="00C04D80"/>
    <w:rsid w:val="00C05031"/>
    <w:rsid w:val="00C05BB7"/>
    <w:rsid w:val="00C102CC"/>
    <w:rsid w:val="00C11455"/>
    <w:rsid w:val="00C14E8E"/>
    <w:rsid w:val="00C171B4"/>
    <w:rsid w:val="00C1758B"/>
    <w:rsid w:val="00C216F9"/>
    <w:rsid w:val="00C21B31"/>
    <w:rsid w:val="00C22965"/>
    <w:rsid w:val="00C24E94"/>
    <w:rsid w:val="00C2552A"/>
    <w:rsid w:val="00C25819"/>
    <w:rsid w:val="00C26B9B"/>
    <w:rsid w:val="00C26D00"/>
    <w:rsid w:val="00C31C2E"/>
    <w:rsid w:val="00C31C89"/>
    <w:rsid w:val="00C352C1"/>
    <w:rsid w:val="00C35377"/>
    <w:rsid w:val="00C3708D"/>
    <w:rsid w:val="00C40389"/>
    <w:rsid w:val="00C41E9D"/>
    <w:rsid w:val="00C41FB8"/>
    <w:rsid w:val="00C43E2A"/>
    <w:rsid w:val="00C44831"/>
    <w:rsid w:val="00C5540C"/>
    <w:rsid w:val="00C56507"/>
    <w:rsid w:val="00C579C2"/>
    <w:rsid w:val="00C64C4E"/>
    <w:rsid w:val="00C666C9"/>
    <w:rsid w:val="00C67136"/>
    <w:rsid w:val="00C67A3F"/>
    <w:rsid w:val="00C73EC9"/>
    <w:rsid w:val="00C746D2"/>
    <w:rsid w:val="00C753E9"/>
    <w:rsid w:val="00C7709A"/>
    <w:rsid w:val="00C81907"/>
    <w:rsid w:val="00C85BEF"/>
    <w:rsid w:val="00C86E4B"/>
    <w:rsid w:val="00C87198"/>
    <w:rsid w:val="00C8740D"/>
    <w:rsid w:val="00C87B7F"/>
    <w:rsid w:val="00C9067D"/>
    <w:rsid w:val="00C90E82"/>
    <w:rsid w:val="00C97B3A"/>
    <w:rsid w:val="00CA0D89"/>
    <w:rsid w:val="00CA1DD1"/>
    <w:rsid w:val="00CA2853"/>
    <w:rsid w:val="00CA360E"/>
    <w:rsid w:val="00CA4D68"/>
    <w:rsid w:val="00CA558D"/>
    <w:rsid w:val="00CA5855"/>
    <w:rsid w:val="00CA6D84"/>
    <w:rsid w:val="00CB03FF"/>
    <w:rsid w:val="00CB41D3"/>
    <w:rsid w:val="00CB41F6"/>
    <w:rsid w:val="00CB7155"/>
    <w:rsid w:val="00CC196F"/>
    <w:rsid w:val="00CC2B1E"/>
    <w:rsid w:val="00CC4FB9"/>
    <w:rsid w:val="00CC6DF3"/>
    <w:rsid w:val="00CD153B"/>
    <w:rsid w:val="00CE1B26"/>
    <w:rsid w:val="00CE1D52"/>
    <w:rsid w:val="00CE1D9A"/>
    <w:rsid w:val="00CE5F96"/>
    <w:rsid w:val="00CE684A"/>
    <w:rsid w:val="00CE71F5"/>
    <w:rsid w:val="00CF18F8"/>
    <w:rsid w:val="00CF4109"/>
    <w:rsid w:val="00CF4978"/>
    <w:rsid w:val="00CF791B"/>
    <w:rsid w:val="00D03A97"/>
    <w:rsid w:val="00D05CD6"/>
    <w:rsid w:val="00D05D88"/>
    <w:rsid w:val="00D073FA"/>
    <w:rsid w:val="00D10303"/>
    <w:rsid w:val="00D12019"/>
    <w:rsid w:val="00D12A2E"/>
    <w:rsid w:val="00D15B43"/>
    <w:rsid w:val="00D2141D"/>
    <w:rsid w:val="00D22E8D"/>
    <w:rsid w:val="00D25B20"/>
    <w:rsid w:val="00D25E48"/>
    <w:rsid w:val="00D25E53"/>
    <w:rsid w:val="00D3647A"/>
    <w:rsid w:val="00D367FC"/>
    <w:rsid w:val="00D378C6"/>
    <w:rsid w:val="00D4002B"/>
    <w:rsid w:val="00D40C52"/>
    <w:rsid w:val="00D40E05"/>
    <w:rsid w:val="00D41BFE"/>
    <w:rsid w:val="00D44405"/>
    <w:rsid w:val="00D46E11"/>
    <w:rsid w:val="00D46FF2"/>
    <w:rsid w:val="00D47DDB"/>
    <w:rsid w:val="00D50400"/>
    <w:rsid w:val="00D55715"/>
    <w:rsid w:val="00D57400"/>
    <w:rsid w:val="00D61686"/>
    <w:rsid w:val="00D61B90"/>
    <w:rsid w:val="00D62571"/>
    <w:rsid w:val="00D62636"/>
    <w:rsid w:val="00D6303B"/>
    <w:rsid w:val="00D630BA"/>
    <w:rsid w:val="00D664A8"/>
    <w:rsid w:val="00D66B99"/>
    <w:rsid w:val="00D66FC8"/>
    <w:rsid w:val="00D66FEA"/>
    <w:rsid w:val="00D6787C"/>
    <w:rsid w:val="00D67E5D"/>
    <w:rsid w:val="00D7322F"/>
    <w:rsid w:val="00D76501"/>
    <w:rsid w:val="00D85E0A"/>
    <w:rsid w:val="00D8660F"/>
    <w:rsid w:val="00D8753F"/>
    <w:rsid w:val="00D903DC"/>
    <w:rsid w:val="00D90A35"/>
    <w:rsid w:val="00D90F2A"/>
    <w:rsid w:val="00D93B25"/>
    <w:rsid w:val="00D93DE9"/>
    <w:rsid w:val="00DA1B91"/>
    <w:rsid w:val="00DA1FEA"/>
    <w:rsid w:val="00DA2CC9"/>
    <w:rsid w:val="00DA5392"/>
    <w:rsid w:val="00DA77F6"/>
    <w:rsid w:val="00DB005F"/>
    <w:rsid w:val="00DB058D"/>
    <w:rsid w:val="00DB27F1"/>
    <w:rsid w:val="00DB62B4"/>
    <w:rsid w:val="00DB6DD9"/>
    <w:rsid w:val="00DC0FAC"/>
    <w:rsid w:val="00DC2B79"/>
    <w:rsid w:val="00DC3DBB"/>
    <w:rsid w:val="00DC51EC"/>
    <w:rsid w:val="00DC7180"/>
    <w:rsid w:val="00DE204C"/>
    <w:rsid w:val="00DE251C"/>
    <w:rsid w:val="00DE3671"/>
    <w:rsid w:val="00DE4DE5"/>
    <w:rsid w:val="00DE6504"/>
    <w:rsid w:val="00DF192E"/>
    <w:rsid w:val="00DF21C0"/>
    <w:rsid w:val="00DF2972"/>
    <w:rsid w:val="00DF45C5"/>
    <w:rsid w:val="00DF6AC5"/>
    <w:rsid w:val="00DF74E5"/>
    <w:rsid w:val="00E00027"/>
    <w:rsid w:val="00E03EB1"/>
    <w:rsid w:val="00E04654"/>
    <w:rsid w:val="00E060F1"/>
    <w:rsid w:val="00E06936"/>
    <w:rsid w:val="00E12B98"/>
    <w:rsid w:val="00E15A58"/>
    <w:rsid w:val="00E16E3E"/>
    <w:rsid w:val="00E16EF1"/>
    <w:rsid w:val="00E17394"/>
    <w:rsid w:val="00E17A14"/>
    <w:rsid w:val="00E23959"/>
    <w:rsid w:val="00E24887"/>
    <w:rsid w:val="00E25381"/>
    <w:rsid w:val="00E257E7"/>
    <w:rsid w:val="00E26367"/>
    <w:rsid w:val="00E27026"/>
    <w:rsid w:val="00E32330"/>
    <w:rsid w:val="00E329F1"/>
    <w:rsid w:val="00E34054"/>
    <w:rsid w:val="00E3573B"/>
    <w:rsid w:val="00E40923"/>
    <w:rsid w:val="00E445FE"/>
    <w:rsid w:val="00E447EC"/>
    <w:rsid w:val="00E47F8A"/>
    <w:rsid w:val="00E53690"/>
    <w:rsid w:val="00E542E2"/>
    <w:rsid w:val="00E55158"/>
    <w:rsid w:val="00E61156"/>
    <w:rsid w:val="00E62BC9"/>
    <w:rsid w:val="00E62D7E"/>
    <w:rsid w:val="00E62F83"/>
    <w:rsid w:val="00E63D4B"/>
    <w:rsid w:val="00E649E3"/>
    <w:rsid w:val="00E701D2"/>
    <w:rsid w:val="00E74ABB"/>
    <w:rsid w:val="00E75765"/>
    <w:rsid w:val="00E760DF"/>
    <w:rsid w:val="00E77A81"/>
    <w:rsid w:val="00E811CC"/>
    <w:rsid w:val="00E82167"/>
    <w:rsid w:val="00E82DE0"/>
    <w:rsid w:val="00E83DA2"/>
    <w:rsid w:val="00E85FCF"/>
    <w:rsid w:val="00E8731E"/>
    <w:rsid w:val="00E87C8F"/>
    <w:rsid w:val="00E90104"/>
    <w:rsid w:val="00E92904"/>
    <w:rsid w:val="00E94747"/>
    <w:rsid w:val="00E95122"/>
    <w:rsid w:val="00E95BAD"/>
    <w:rsid w:val="00E95D8A"/>
    <w:rsid w:val="00E95EE4"/>
    <w:rsid w:val="00EA04F6"/>
    <w:rsid w:val="00EA38EC"/>
    <w:rsid w:val="00EA466E"/>
    <w:rsid w:val="00EA66C2"/>
    <w:rsid w:val="00EA7ED7"/>
    <w:rsid w:val="00EB59CB"/>
    <w:rsid w:val="00EB5CE6"/>
    <w:rsid w:val="00EB622B"/>
    <w:rsid w:val="00EC1A24"/>
    <w:rsid w:val="00EC240B"/>
    <w:rsid w:val="00EC2E6D"/>
    <w:rsid w:val="00EC697B"/>
    <w:rsid w:val="00EC700D"/>
    <w:rsid w:val="00EC7660"/>
    <w:rsid w:val="00ED0541"/>
    <w:rsid w:val="00ED1461"/>
    <w:rsid w:val="00ED24AD"/>
    <w:rsid w:val="00ED26D6"/>
    <w:rsid w:val="00ED4EEF"/>
    <w:rsid w:val="00ED5207"/>
    <w:rsid w:val="00ED61F6"/>
    <w:rsid w:val="00EE0ED5"/>
    <w:rsid w:val="00EE21DB"/>
    <w:rsid w:val="00EE2B81"/>
    <w:rsid w:val="00EE5073"/>
    <w:rsid w:val="00EE5644"/>
    <w:rsid w:val="00EE61D9"/>
    <w:rsid w:val="00EE654D"/>
    <w:rsid w:val="00EE682C"/>
    <w:rsid w:val="00EE6957"/>
    <w:rsid w:val="00EF2C4B"/>
    <w:rsid w:val="00EF3164"/>
    <w:rsid w:val="00EF3C2B"/>
    <w:rsid w:val="00EF413C"/>
    <w:rsid w:val="00EF554C"/>
    <w:rsid w:val="00EF707D"/>
    <w:rsid w:val="00F06C2A"/>
    <w:rsid w:val="00F0704C"/>
    <w:rsid w:val="00F0751F"/>
    <w:rsid w:val="00F13CEF"/>
    <w:rsid w:val="00F1489D"/>
    <w:rsid w:val="00F15066"/>
    <w:rsid w:val="00F20D28"/>
    <w:rsid w:val="00F22505"/>
    <w:rsid w:val="00F24305"/>
    <w:rsid w:val="00F2790D"/>
    <w:rsid w:val="00F317C6"/>
    <w:rsid w:val="00F32AFA"/>
    <w:rsid w:val="00F336FA"/>
    <w:rsid w:val="00F46864"/>
    <w:rsid w:val="00F476C4"/>
    <w:rsid w:val="00F518F5"/>
    <w:rsid w:val="00F52DE7"/>
    <w:rsid w:val="00F55A22"/>
    <w:rsid w:val="00F61ED1"/>
    <w:rsid w:val="00F62293"/>
    <w:rsid w:val="00F64A02"/>
    <w:rsid w:val="00F6585A"/>
    <w:rsid w:val="00F72074"/>
    <w:rsid w:val="00F760C0"/>
    <w:rsid w:val="00F7674D"/>
    <w:rsid w:val="00F771D4"/>
    <w:rsid w:val="00F805AC"/>
    <w:rsid w:val="00F82B89"/>
    <w:rsid w:val="00F87D73"/>
    <w:rsid w:val="00F97AF3"/>
    <w:rsid w:val="00F97C96"/>
    <w:rsid w:val="00FA21EF"/>
    <w:rsid w:val="00FA2B70"/>
    <w:rsid w:val="00FB0FD2"/>
    <w:rsid w:val="00FB4433"/>
    <w:rsid w:val="00FB588B"/>
    <w:rsid w:val="00FB5F52"/>
    <w:rsid w:val="00FB6962"/>
    <w:rsid w:val="00FC1C3A"/>
    <w:rsid w:val="00FC1D85"/>
    <w:rsid w:val="00FC3E15"/>
    <w:rsid w:val="00FC5287"/>
    <w:rsid w:val="00FC5B6F"/>
    <w:rsid w:val="00FC5DC5"/>
    <w:rsid w:val="00FD384B"/>
    <w:rsid w:val="00FD6E36"/>
    <w:rsid w:val="00FD7957"/>
    <w:rsid w:val="00FE07BC"/>
    <w:rsid w:val="00FE1D81"/>
    <w:rsid w:val="00FE2D7C"/>
    <w:rsid w:val="00FE4859"/>
    <w:rsid w:val="00FE682A"/>
    <w:rsid w:val="00FF1449"/>
    <w:rsid w:val="00FF1FF9"/>
    <w:rsid w:val="00FF42E9"/>
    <w:rsid w:val="00FF43B6"/>
    <w:rsid w:val="28791FCE"/>
    <w:rsid w:val="30396DC1"/>
    <w:rsid w:val="41145D0B"/>
    <w:rsid w:val="51B828E1"/>
    <w:rsid w:val="7925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60D520-5E4A-4A36-BF4A-34C0A954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uiPriority w:val="99"/>
    <w:rPr>
      <w:rFonts w:ascii="宋体" w:hAnsi="Courier New"/>
      <w:kern w:val="2"/>
      <w:sz w:val="21"/>
      <w:szCs w:val="21"/>
    </w:rPr>
  </w:style>
  <w:style w:type="character" w:customStyle="1" w:styleId="a5">
    <w:name w:val="页脚 字符"/>
    <w:link w:val="a6"/>
    <w:uiPriority w:val="99"/>
    <w:rPr>
      <w:kern w:val="2"/>
      <w:sz w:val="18"/>
      <w:szCs w:val="18"/>
    </w:rPr>
  </w:style>
  <w:style w:type="character" w:customStyle="1" w:styleId="Char">
    <w:name w:val="表格正文 Char"/>
    <w:link w:val="a7"/>
    <w:rPr>
      <w:szCs w:val="21"/>
    </w:rPr>
  </w:style>
  <w:style w:type="character" w:styleId="a8">
    <w:name w:val="Hyperlink"/>
    <w:rPr>
      <w:color w:val="0563C1"/>
      <w:u w:val="single"/>
    </w:rPr>
  </w:style>
  <w:style w:type="character" w:customStyle="1" w:styleId="20">
    <w:name w:val="标题 2 字符"/>
    <w:link w:val="2"/>
    <w:semiHidden/>
    <w:rPr>
      <w:rFonts w:ascii="Cambria" w:eastAsia="宋体" w:hAnsi="Cambria" w:cs="Times New Roman"/>
      <w:b/>
      <w:bCs/>
      <w:kern w:val="2"/>
      <w:sz w:val="32"/>
      <w:szCs w:val="32"/>
    </w:rPr>
  </w:style>
  <w:style w:type="character" w:customStyle="1" w:styleId="apple-converted-space">
    <w:name w:val="apple-converted-space"/>
    <w:basedOn w:val="a0"/>
  </w:style>
  <w:style w:type="character" w:customStyle="1" w:styleId="10">
    <w:name w:val="标题 1 字符"/>
    <w:link w:val="1"/>
    <w:uiPriority w:val="9"/>
    <w:rPr>
      <w:b/>
      <w:bCs/>
      <w:kern w:val="44"/>
      <w:sz w:val="44"/>
      <w:szCs w:val="44"/>
    </w:rPr>
  </w:style>
  <w:style w:type="character" w:styleId="a9">
    <w:name w:val="page number"/>
    <w:basedOn w:val="a0"/>
  </w:style>
  <w:style w:type="character" w:customStyle="1" w:styleId="aa">
    <w:name w:val="正文文本 字符"/>
    <w:link w:val="ab"/>
    <w:rPr>
      <w:rFonts w:ascii="黑体" w:eastAsia="黑体"/>
      <w:kern w:val="2"/>
      <w:sz w:val="44"/>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customStyle="1" w:styleId="a7">
    <w:name w:val="表格正文"/>
    <w:basedOn w:val="a"/>
    <w:link w:val="Char"/>
    <w:qFormat/>
    <w:pPr>
      <w:spacing w:line="240" w:lineRule="atLeast"/>
      <w:jc w:val="center"/>
    </w:pPr>
    <w:rPr>
      <w:kern w:val="0"/>
      <w:sz w:val="20"/>
      <w:szCs w:val="21"/>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d">
    <w:name w:val="Balloon Text"/>
    <w:basedOn w:val="a"/>
    <w:semiHidden/>
    <w:rPr>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4">
    <w:name w:val="Plain Text"/>
    <w:basedOn w:val="a"/>
    <w:link w:val="a3"/>
    <w:uiPriority w:val="99"/>
    <w:rPr>
      <w:rFonts w:ascii="宋体" w:hAnsi="Courier New"/>
      <w:szCs w:val="21"/>
    </w:rPr>
  </w:style>
  <w:style w:type="paragraph" w:styleId="ae">
    <w:name w:val="Date"/>
    <w:basedOn w:val="a"/>
    <w:next w:val="a"/>
    <w:pPr>
      <w:ind w:leftChars="2500" w:left="100"/>
    </w:pPr>
  </w:style>
  <w:style w:type="paragraph" w:styleId="ab">
    <w:name w:val="Body Text"/>
    <w:basedOn w:val="a"/>
    <w:link w:val="aa"/>
    <w:pPr>
      <w:spacing w:line="700" w:lineRule="exact"/>
      <w:jc w:val="center"/>
    </w:pPr>
    <w:rPr>
      <w:rFonts w:ascii="黑体" w:eastAsia="黑体"/>
      <w:sz w:val="44"/>
      <w:szCs w:val="20"/>
    </w:rPr>
  </w:style>
  <w:style w:type="paragraph" w:customStyle="1" w:styleId="p0">
    <w:name w:val="p0"/>
    <w:basedOn w:val="a"/>
    <w:pPr>
      <w:widowControl/>
    </w:pPr>
    <w:rPr>
      <w:rFonts w:cs="宋体"/>
      <w:kern w:val="0"/>
      <w:szCs w:val="21"/>
    </w:rPr>
  </w:style>
  <w:style w:type="table" w:styleId="af">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59"/>
    <w:rPr>
      <w:rFonts w:eastAsia="微软雅黑"/>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附注－正文"/>
    <w:basedOn w:val="af1"/>
    <w:rsid w:val="001671C5"/>
    <w:pPr>
      <w:adjustRightInd w:val="0"/>
      <w:snapToGrid w:val="0"/>
      <w:spacing w:before="100" w:beforeAutospacing="1" w:after="0"/>
      <w:ind w:leftChars="0" w:left="0"/>
      <w:jc w:val="left"/>
    </w:pPr>
    <w:rPr>
      <w:rFonts w:ascii="宋体" w:hAnsi="宋体" w:cs="宋体"/>
      <w:color w:val="3333FF"/>
      <w:kern w:val="0"/>
      <w:sz w:val="18"/>
      <w:szCs w:val="18"/>
    </w:rPr>
  </w:style>
  <w:style w:type="paragraph" w:styleId="af1">
    <w:name w:val="Body Text Indent"/>
    <w:basedOn w:val="a"/>
    <w:link w:val="af2"/>
    <w:rsid w:val="001671C5"/>
    <w:pPr>
      <w:spacing w:after="120"/>
      <w:ind w:leftChars="200" w:left="420"/>
    </w:pPr>
  </w:style>
  <w:style w:type="character" w:customStyle="1" w:styleId="af2">
    <w:name w:val="正文文本缩进 字符"/>
    <w:link w:val="af1"/>
    <w:rsid w:val="001671C5"/>
    <w:rPr>
      <w:kern w:val="2"/>
      <w:sz w:val="21"/>
      <w:szCs w:val="24"/>
    </w:rPr>
  </w:style>
  <w:style w:type="paragraph" w:styleId="af3">
    <w:name w:val="Normal (Web)"/>
    <w:basedOn w:val="a"/>
    <w:uiPriority w:val="99"/>
    <w:unhideWhenUsed/>
    <w:rsid w:val="0096712F"/>
    <w:pPr>
      <w:widowControl/>
      <w:spacing w:before="100" w:beforeAutospacing="1" w:after="100" w:afterAutospacing="1"/>
      <w:jc w:val="left"/>
    </w:pPr>
    <w:rPr>
      <w:rFonts w:ascii="宋体" w:hAnsi="宋体" w:cs="宋体"/>
      <w:kern w:val="0"/>
      <w:sz w:val="24"/>
    </w:rPr>
  </w:style>
  <w:style w:type="paragraph" w:customStyle="1" w:styleId="16">
    <w:name w:val="16"/>
    <w:basedOn w:val="a"/>
    <w:rsid w:val="0096712F"/>
    <w:pPr>
      <w:widowControl/>
      <w:spacing w:before="100" w:beforeAutospacing="1" w:after="100" w:afterAutospacing="1"/>
      <w:jc w:val="left"/>
    </w:pPr>
    <w:rPr>
      <w:rFonts w:ascii="宋体" w:hAnsi="宋体" w:cs="宋体"/>
      <w:kern w:val="0"/>
      <w:sz w:val="24"/>
    </w:rPr>
  </w:style>
  <w:style w:type="paragraph" w:customStyle="1" w:styleId="15">
    <w:name w:val="15"/>
    <w:basedOn w:val="a"/>
    <w:rsid w:val="0096712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9651">
      <w:bodyDiv w:val="1"/>
      <w:marLeft w:val="0"/>
      <w:marRight w:val="0"/>
      <w:marTop w:val="0"/>
      <w:marBottom w:val="0"/>
      <w:divBdr>
        <w:top w:val="none" w:sz="0" w:space="0" w:color="auto"/>
        <w:left w:val="none" w:sz="0" w:space="0" w:color="auto"/>
        <w:bottom w:val="none" w:sz="0" w:space="0" w:color="auto"/>
        <w:right w:val="none" w:sz="0" w:space="0" w:color="auto"/>
      </w:divBdr>
    </w:div>
    <w:div w:id="593242652">
      <w:bodyDiv w:val="1"/>
      <w:marLeft w:val="0"/>
      <w:marRight w:val="0"/>
      <w:marTop w:val="0"/>
      <w:marBottom w:val="0"/>
      <w:divBdr>
        <w:top w:val="none" w:sz="0" w:space="0" w:color="auto"/>
        <w:left w:val="none" w:sz="0" w:space="0" w:color="auto"/>
        <w:bottom w:val="none" w:sz="0" w:space="0" w:color="auto"/>
        <w:right w:val="none" w:sz="0" w:space="0" w:color="auto"/>
      </w:divBdr>
    </w:div>
    <w:div w:id="894311777">
      <w:bodyDiv w:val="1"/>
      <w:marLeft w:val="0"/>
      <w:marRight w:val="0"/>
      <w:marTop w:val="0"/>
      <w:marBottom w:val="0"/>
      <w:divBdr>
        <w:top w:val="none" w:sz="0" w:space="0" w:color="auto"/>
        <w:left w:val="none" w:sz="0" w:space="0" w:color="auto"/>
        <w:bottom w:val="none" w:sz="0" w:space="0" w:color="auto"/>
        <w:right w:val="none" w:sz="0" w:space="0" w:color="auto"/>
      </w:divBdr>
    </w:div>
    <w:div w:id="962345371">
      <w:bodyDiv w:val="1"/>
      <w:marLeft w:val="0"/>
      <w:marRight w:val="0"/>
      <w:marTop w:val="0"/>
      <w:marBottom w:val="0"/>
      <w:divBdr>
        <w:top w:val="none" w:sz="0" w:space="0" w:color="auto"/>
        <w:left w:val="none" w:sz="0" w:space="0" w:color="auto"/>
        <w:bottom w:val="none" w:sz="0" w:space="0" w:color="auto"/>
        <w:right w:val="none" w:sz="0" w:space="0" w:color="auto"/>
      </w:divBdr>
    </w:div>
    <w:div w:id="1125004650">
      <w:bodyDiv w:val="1"/>
      <w:marLeft w:val="0"/>
      <w:marRight w:val="0"/>
      <w:marTop w:val="0"/>
      <w:marBottom w:val="0"/>
      <w:divBdr>
        <w:top w:val="none" w:sz="0" w:space="0" w:color="auto"/>
        <w:left w:val="none" w:sz="0" w:space="0" w:color="auto"/>
        <w:bottom w:val="none" w:sz="0" w:space="0" w:color="auto"/>
        <w:right w:val="none" w:sz="0" w:space="0" w:color="auto"/>
      </w:divBdr>
    </w:div>
    <w:div w:id="1700348218">
      <w:bodyDiv w:val="1"/>
      <w:marLeft w:val="0"/>
      <w:marRight w:val="0"/>
      <w:marTop w:val="0"/>
      <w:marBottom w:val="0"/>
      <w:divBdr>
        <w:top w:val="none" w:sz="0" w:space="0" w:color="auto"/>
        <w:left w:val="none" w:sz="0" w:space="0" w:color="auto"/>
        <w:bottom w:val="none" w:sz="0" w:space="0" w:color="auto"/>
        <w:right w:val="none" w:sz="0" w:space="0" w:color="auto"/>
      </w:divBdr>
    </w:div>
    <w:div w:id="17848838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Company>微软中国</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3</cp:revision>
  <cp:lastPrinted>2016-03-29T00:48:00Z</cp:lastPrinted>
  <dcterms:created xsi:type="dcterms:W3CDTF">2024-04-29T08:22:00Z</dcterms:created>
  <dcterms:modified xsi:type="dcterms:W3CDTF">2024-04-29T08:22:00Z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